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E682" w14:textId="4FDD48AF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D380074" wp14:editId="585BB923">
            <wp:extent cx="2634143" cy="681295"/>
            <wp:effectExtent l="0" t="0" r="0" b="5080"/>
            <wp:docPr id="2" name="Picture 2" descr="/var/folders/lq/fmsq74c94876307f_7_cvwjw0000gp/T/com.microsoft.Word/Content.MSO/D60DEC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q/fmsq74c94876307f_7_cvwjw0000gp/T/com.microsoft.Word/Content.MSO/D60DEC3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91" cy="7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  <w:t xml:space="preserve">     </w:t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="006E0890">
        <w:rPr>
          <w:rStyle w:val="normaltextrun"/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87656E2" wp14:editId="1766A8FF">
            <wp:extent cx="1780109" cy="855677"/>
            <wp:effectExtent l="0" t="0" r="0" b="0"/>
            <wp:docPr id="1" name="Picture 1" descr="/var/folders/lq/fmsq74c94876307f_7_cvwjw0000gp/T/com.microsoft.Word/Content.MSO/791C4B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lq/fmsq74c94876307f_7_cvwjw0000gp/T/com.microsoft.Word/Content.MSO/791C4B1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5" cy="87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</w:rPr>
        <w:t> </w:t>
      </w:r>
    </w:p>
    <w:p w14:paraId="668E18C6" w14:textId="586DFABA" w:rsidR="006E0890" w:rsidRDefault="006E0890" w:rsidP="031D0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</w:pPr>
    </w:p>
    <w:p w14:paraId="0E38A556" w14:textId="77777777" w:rsidR="006E0890" w:rsidRDefault="006E0890" w:rsidP="031D0F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</w:pPr>
    </w:p>
    <w:p w14:paraId="246ACADE" w14:textId="1E78C44E" w:rsidR="000F59BE" w:rsidRDefault="031D0F07" w:rsidP="0C27AF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 w:rsidRPr="0C27AF74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announces the</w:t>
      </w:r>
      <w:r w:rsidRPr="009B43AB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 </w:t>
      </w:r>
      <w:r w:rsidR="0B550264" w:rsidRPr="009B43AB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2</w:t>
      </w:r>
      <w:r w:rsidR="009B43AB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1</w:t>
      </w:r>
      <w:r w:rsidR="009B43AB" w:rsidRPr="009B43AB">
        <w:rPr>
          <w:rStyle w:val="normaltextrun"/>
          <w:rFonts w:ascii="Calibri" w:hAnsi="Calibri" w:cs="Calibri"/>
          <w:i/>
          <w:iCs/>
          <w:color w:val="000000" w:themeColor="text1"/>
          <w:u w:val="single"/>
          <w:vertAlign w:val="superscript"/>
        </w:rPr>
        <w:t>st</w:t>
      </w:r>
      <w:r w:rsidR="009B43AB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 xml:space="preserve"> </w:t>
      </w:r>
      <w:r w:rsidRPr="0C27AF74">
        <w:rPr>
          <w:rStyle w:val="normaltextrun"/>
          <w:rFonts w:ascii="Calibri" w:hAnsi="Calibri" w:cs="Calibri"/>
          <w:i/>
          <w:iCs/>
          <w:color w:val="000000" w:themeColor="text1"/>
          <w:u w:val="single"/>
        </w:rPr>
        <w:t>annual</w:t>
      </w:r>
      <w:r w:rsidRPr="0C27AF74">
        <w:rPr>
          <w:rStyle w:val="eop"/>
          <w:rFonts w:ascii="Calibri" w:hAnsi="Calibri" w:cs="Calibri"/>
          <w:b/>
          <w:bCs/>
          <w:color w:val="000000" w:themeColor="text1"/>
          <w:u w:val="single"/>
        </w:rPr>
        <w:t> </w:t>
      </w:r>
    </w:p>
    <w:p w14:paraId="2FF55E9F" w14:textId="1A0FACDF" w:rsidR="000F59BE" w:rsidRDefault="000F59BE" w:rsidP="000F59B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Mary K.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Bo</w:t>
      </w:r>
      <w:r w:rsidR="009B43AB"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n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steel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 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Tachau</w:t>
      </w:r>
      <w:proofErr w:type="spellEnd"/>
    </w:p>
    <w:p w14:paraId="733BC789" w14:textId="5AA8A57C" w:rsidR="000F59BE" w:rsidRDefault="000F59BE" w:rsidP="000F59B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Gender Equity Award</w:t>
      </w:r>
    </w:p>
    <w:p w14:paraId="5762C170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9ADFCE9" w14:textId="27864AC8" w:rsidR="000F59BE" w:rsidRDefault="031D0F07" w:rsidP="0C27AF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C27AF74">
        <w:rPr>
          <w:rStyle w:val="normaltextrun"/>
          <w:rFonts w:ascii="Calibri" w:hAnsi="Calibri" w:cs="Calibri"/>
          <w:sz w:val="20"/>
          <w:szCs w:val="20"/>
        </w:rPr>
        <w:t>Nominations are invited for the Mary K. </w:t>
      </w:r>
      <w:proofErr w:type="spellStart"/>
      <w:r w:rsidRPr="0C27AF74">
        <w:rPr>
          <w:rStyle w:val="normaltextrun"/>
          <w:rFonts w:ascii="Calibri" w:hAnsi="Calibri" w:cs="Calibri"/>
          <w:sz w:val="20"/>
          <w:szCs w:val="20"/>
        </w:rPr>
        <w:t>Bonsteel</w:t>
      </w:r>
      <w:proofErr w:type="spellEnd"/>
      <w:r w:rsidRPr="0C27AF74">
        <w:rPr>
          <w:rStyle w:val="normaltextrun"/>
          <w:rFonts w:ascii="Calibri" w:hAnsi="Calibri" w:cs="Calibri"/>
          <w:sz w:val="20"/>
          <w:szCs w:val="20"/>
        </w:rPr>
        <w:t> </w:t>
      </w:r>
      <w:proofErr w:type="spellStart"/>
      <w:r w:rsidRPr="0C27AF74">
        <w:rPr>
          <w:rStyle w:val="normaltextrun"/>
          <w:rFonts w:ascii="Calibri" w:hAnsi="Calibri" w:cs="Calibri"/>
          <w:sz w:val="20"/>
          <w:szCs w:val="20"/>
        </w:rPr>
        <w:t>Tachau</w:t>
      </w:r>
      <w:proofErr w:type="spellEnd"/>
      <w:r w:rsidRPr="0C27AF74">
        <w:rPr>
          <w:rStyle w:val="normaltextrun"/>
          <w:rFonts w:ascii="Calibri" w:hAnsi="Calibri" w:cs="Calibri"/>
          <w:sz w:val="20"/>
          <w:szCs w:val="20"/>
        </w:rPr>
        <w:t> Gender Equity Award </w:t>
      </w:r>
      <w:r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which will be presented to a member of the UofL community--broadly defined to include all of those, past and present, who have some affiliation with the University of Louisville -- whose work has directly furthered gender equity. The prestigious award will be announced</w:t>
      </w:r>
      <w:r w:rsidR="003C67AE"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by the UofL Women’s Center and the UofL Commission on the Status of Women, at the Women’s Center virtual Empowerment Program </w:t>
      </w:r>
      <w:r w:rsidR="4CBAB94A"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March 21, 2023.</w:t>
      </w:r>
      <w:r w:rsidRPr="0C27AF74"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="000F59BE"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Examples of projects consistent with the scope of the Women’s Center, the Commission, and the focus on women’s rights which characterized Dr. </w:t>
      </w:r>
      <w:proofErr w:type="spellStart"/>
      <w:r w:rsidR="000F59BE"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Tachau’s</w:t>
      </w:r>
      <w:proofErr w:type="spellEnd"/>
      <w:r w:rsidR="000F59BE"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 life include, but are not limited to: </w:t>
      </w:r>
      <w:r w:rsidR="000F59BE" w:rsidRPr="0C27AF74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62CC45D8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1A04915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 that 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</w:rPr>
        <w:t>promotes women’s equality and gender equity by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: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D208DC3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4EB313B" w14:textId="77777777" w:rsidR="000F59BE" w:rsidRDefault="000F59BE" w:rsidP="000F59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creating institutional and/or structural change (for example, to ensure pay equity or to monitor affirmative action goals with respect to gender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);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DCC7189" w14:textId="77777777" w:rsidR="000F59BE" w:rsidRDefault="000F59BE" w:rsidP="000F59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performing institutional work to address an issue of particular concern to women (such as violence against women on campus or in the community; the availability of scholarship funds for women; or the status of women athletes at the university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);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72C6B16" w14:textId="77777777" w:rsidR="000F59BE" w:rsidRDefault="000F59BE" w:rsidP="000F59B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using one’s own position within the institution to work strategically on behalf of other women (for example, by establishing an organized mentoring program; or working to ensure that women move into organizational positions of decision-making authority)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E150E6C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8D7207E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 that 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</w:rPr>
        <w:t>increases women’s self-reliance by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0068B1D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613D5CA" w14:textId="77777777" w:rsidR="000F59BE" w:rsidRDefault="000F59BE" w:rsidP="000F59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expanding educational opportunity for women (for example, recruiting women students for traditionally male dominated professions &amp; supporting their continued professional development in those professions; or working to ensure adequate funding for, and appropriate financial support of traditionally female occupations such as nursing, education, and social work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);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1FD82C6" w14:textId="77777777" w:rsidR="000F59BE" w:rsidRDefault="000F59BE" w:rsidP="000F59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addressing women’s ongoing professional development (such as creating scholarships and/or professional internships for women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in order to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address ongoing professional development issues)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58E97FB" w14:textId="77777777" w:rsidR="000F59BE" w:rsidRDefault="000F59BE" w:rsidP="000F59B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documenting the negative effects of gender on women’s career paths and/or creating programs which address the barriers created by gender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A695EE9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376B029C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Work that 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u w:val="single"/>
        </w:rPr>
        <w:t>highlights women’s contributions to all cultures and societies by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: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F4FFF27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AFC44E5" w14:textId="77777777" w:rsidR="000F59BE" w:rsidRDefault="000F59BE" w:rsidP="000F59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work in the arts which opens new paths of gender equity for women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artists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or which explicitly addresses “art as a vehicle for social change”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AEBFB35" w14:textId="77777777" w:rsidR="000F59BE" w:rsidRDefault="000F59BE" w:rsidP="000F59B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work which particularly recognizes diversity (by race/ethnicity, sexual orientation, socio-economic class, religion, or country of origin, etc.) in the women’s movement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A10D6F3" w14:textId="77777777" w:rsidR="000F59BE" w:rsidRDefault="000F59BE" w:rsidP="000F59B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exceptional accomplishments of women who are historically “firsts” in some area of their lives (first woman provost, CEO, mayor, etc.)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313190C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lastRenderedPageBreak/>
        <w:t> </w:t>
      </w:r>
    </w:p>
    <w:p w14:paraId="2EB4A2FF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2DDEEF8" w14:textId="77777777" w:rsidR="000F59BE" w:rsidRDefault="000F59BE" w:rsidP="000F59B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Nomination Procedure</w:t>
      </w:r>
      <w:r>
        <w:rPr>
          <w:rStyle w:val="eop"/>
          <w:rFonts w:ascii="Calibri" w:hAnsi="Calibri" w:cs="Calibri"/>
          <w:color w:val="000000"/>
        </w:rPr>
        <w:t> </w:t>
      </w:r>
    </w:p>
    <w:p w14:paraId="7725943B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B48A1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422EC39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Nominations are welcome from any person familiar with the nominee’s achievements.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ACD2C63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C2C981A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To nominate someone, please submit: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5D3D184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A19BE5F" w14:textId="5446EA87" w:rsidR="000F59BE" w:rsidRDefault="000F59BE" w:rsidP="000F59B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The nomination form</w:t>
      </w:r>
      <w:r w:rsidR="00AC747B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: </w:t>
      </w:r>
      <w:hyperlink r:id="rId10" w:history="1">
        <w:r w:rsidR="00AC747B" w:rsidRPr="00C802FD">
          <w:rPr>
            <w:rStyle w:val="Hyperlink"/>
            <w:rFonts w:ascii="Calibri" w:hAnsi="Calibri" w:cs="Calibri"/>
            <w:sz w:val="20"/>
            <w:szCs w:val="20"/>
          </w:rPr>
          <w:t>https://forms.office.com/r/SSZWgyp6hf</w:t>
        </w:r>
      </w:hyperlink>
      <w:r w:rsidR="00AC747B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</w:p>
    <w:p w14:paraId="28A92173" w14:textId="77777777" w:rsidR="000F59BE" w:rsidRDefault="000F59BE" w:rsidP="000F59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A brief letter explaining the nominee’s connection to the University of Louisville and work on behalf of gender equity.  Letters of nomination will normally be 500-1000 words in length.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20AC6B9" w14:textId="1F6E10A4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 </w:t>
      </w:r>
    </w:p>
    <w:p w14:paraId="12766241" w14:textId="744F6AF2" w:rsidR="000F59BE" w:rsidRDefault="0EC5451E" w:rsidP="0C27AF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The Women’s Center expects that the recipient will be available to be recognized for their award during the Empowerment Program on </w:t>
      </w:r>
      <w:r w:rsidRPr="0C27AF74"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Tuesday, </w:t>
      </w:r>
      <w:r w:rsidR="291546AF" w:rsidRPr="0C27AF74">
        <w:rPr>
          <w:rStyle w:val="normaltextrun"/>
          <w:rFonts w:ascii="Calibri" w:hAnsi="Calibri" w:cs="Calibri"/>
          <w:color w:val="C00000"/>
          <w:sz w:val="20"/>
          <w:szCs w:val="20"/>
        </w:rPr>
        <w:t>March 21, 2023</w:t>
      </w:r>
      <w:r w:rsidR="003C67AE"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DF1710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at 6:00</w:t>
      </w:r>
      <w:r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p.m.  Nominations and additional questions may be addressed to: Committee Chair, </w:t>
      </w:r>
      <w:r w:rsidR="009B43AB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Emily Spoden, Emily.spoden@louisville.edu,</w:t>
      </w:r>
      <w:r w:rsidRPr="0C27AF74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 Commission on the Status of Women. </w:t>
      </w:r>
    </w:p>
    <w:p w14:paraId="62A4102F" w14:textId="77777777" w:rsidR="000F59BE" w:rsidRDefault="000F59BE" w:rsidP="000F59B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B0DBA3C" w14:textId="1F7352CA" w:rsidR="000F59BE" w:rsidRDefault="000F59BE" w:rsidP="0C27AF7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C27AF74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>Nomination Deadline is </w:t>
      </w:r>
      <w:r w:rsidRPr="00F40AAF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 xml:space="preserve">Friday, </w:t>
      </w:r>
      <w:r w:rsidR="00F40AAF" w:rsidRPr="00F40AAF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 xml:space="preserve">February </w:t>
      </w:r>
      <w:r w:rsidR="00706B30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>17</w:t>
      </w:r>
      <w:r w:rsidR="00706B30" w:rsidRPr="00706B30">
        <w:rPr>
          <w:rStyle w:val="normaltextrun"/>
          <w:rFonts w:ascii="Calibri" w:hAnsi="Calibri" w:cs="Calibri"/>
          <w:b/>
          <w:bCs/>
          <w:color w:val="000000" w:themeColor="text1"/>
          <w:u w:val="single"/>
          <w:vertAlign w:val="superscript"/>
        </w:rPr>
        <w:t>th</w:t>
      </w:r>
      <w:r w:rsidR="00F40AAF" w:rsidRPr="00F40AAF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 xml:space="preserve">, </w:t>
      </w:r>
      <w:proofErr w:type="gramStart"/>
      <w:r w:rsidR="00F40AAF" w:rsidRPr="00F40AAF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>2023</w:t>
      </w:r>
      <w:proofErr w:type="gramEnd"/>
      <w:r w:rsidRPr="00F40AAF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> </w:t>
      </w:r>
      <w:r w:rsidRPr="0C27AF74">
        <w:rPr>
          <w:rStyle w:val="normaltextrun"/>
          <w:rFonts w:ascii="Calibri" w:hAnsi="Calibri" w:cs="Calibri"/>
          <w:b/>
          <w:bCs/>
          <w:color w:val="000000" w:themeColor="text1"/>
          <w:u w:val="single"/>
        </w:rPr>
        <w:t>by 5:00 p.m.</w:t>
      </w:r>
      <w:r w:rsidRPr="0C27AF74">
        <w:rPr>
          <w:rStyle w:val="eop"/>
          <w:rFonts w:ascii="Calibri" w:hAnsi="Calibri" w:cs="Calibri"/>
          <w:color w:val="000000" w:themeColor="text1"/>
        </w:rPr>
        <w:t> </w:t>
      </w:r>
    </w:p>
    <w:p w14:paraId="16DBDB42" w14:textId="77777777" w:rsidR="006E0890" w:rsidRDefault="000F59BE" w:rsidP="006E08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45B8D7" w14:textId="0FD05A52" w:rsidR="000F59BE" w:rsidRDefault="000F59BE" w:rsidP="006E089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The Mary K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Tachau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Gender Equity Award is intended to honor the memory of Dr. Mary K.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Tachau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, “a women’s rights activist, nationally recognized constitutional historian and member of the [UofL] history department [who] became the first female chair of the [UofL] history department, and the [UofL] faculty senate.” Dr. 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Tachau’s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other</w:t>
      </w:r>
      <w:r w:rsidR="006E0890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1729B">
        <w:rPr>
          <w:rStyle w:val="normaltextrun"/>
          <w:rFonts w:ascii="Calibri" w:hAnsi="Calibri" w:cs="Calibri"/>
          <w:sz w:val="20"/>
          <w:szCs w:val="20"/>
        </w:rPr>
        <w:t>university service included membership on the Steering Committee on Women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's Studies</w:t>
      </w:r>
      <w:r w:rsidR="00CB293B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and the Affirmative Action Committee. She received the Distinguished Teaching Award in 1988. Dr. </w:t>
      </w:r>
      <w:proofErr w:type="spellStart"/>
      <w:r w:rsidR="00CB293B">
        <w:rPr>
          <w:rStyle w:val="normaltextrun"/>
          <w:rFonts w:ascii="Calibri" w:hAnsi="Calibri" w:cs="Calibri"/>
          <w:color w:val="000000"/>
          <w:sz w:val="20"/>
          <w:szCs w:val="20"/>
        </w:rPr>
        <w:t>T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achau’s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 papers are housed in the Women's History Collection at the University Archives (</w:t>
      </w:r>
      <w:hyperlink r:id="rId11" w:tgtFrame="_blank" w:history="1">
        <w:r>
          <w:rPr>
            <w:rStyle w:val="normaltextrun"/>
            <w:rFonts w:ascii="Calibri" w:hAnsi="Calibri" w:cs="Calibri"/>
            <w:color w:val="000000"/>
            <w:sz w:val="20"/>
            <w:szCs w:val="20"/>
            <w:u w:val="single"/>
          </w:rPr>
          <w:t>http://library.louisville.edu/uarc/tachau.html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 ) as part of the Women’s Manuscripts Collection Project.</w:t>
      </w:r>
      <w:r>
        <w:rPr>
          <w:rStyle w:val="normaltextrun"/>
          <w:rFonts w:ascii="Calibri" w:hAnsi="Calibri" w:cs="Calibri"/>
          <w:sz w:val="20"/>
          <w:szCs w:val="20"/>
        </w:rPr>
        <w:t>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D0D292" w14:textId="77777777" w:rsidR="000F59BE" w:rsidRDefault="000F59BE" w:rsidP="000F59B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0D4F9B" w14:textId="77777777" w:rsidR="00E043E5" w:rsidRDefault="00E043E5"/>
    <w:sectPr w:rsidR="00E043E5" w:rsidSect="00D0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D8"/>
    <w:multiLevelType w:val="multilevel"/>
    <w:tmpl w:val="B33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107D2"/>
    <w:multiLevelType w:val="multilevel"/>
    <w:tmpl w:val="4C6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F0905"/>
    <w:multiLevelType w:val="multilevel"/>
    <w:tmpl w:val="5C12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C0518"/>
    <w:multiLevelType w:val="multilevel"/>
    <w:tmpl w:val="58B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3315"/>
    <w:multiLevelType w:val="multilevel"/>
    <w:tmpl w:val="F5F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7D201F"/>
    <w:multiLevelType w:val="multilevel"/>
    <w:tmpl w:val="EB3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3379200">
    <w:abstractNumId w:val="5"/>
  </w:num>
  <w:num w:numId="2" w16cid:durableId="210115472">
    <w:abstractNumId w:val="0"/>
  </w:num>
  <w:num w:numId="3" w16cid:durableId="1891526507">
    <w:abstractNumId w:val="4"/>
  </w:num>
  <w:num w:numId="4" w16cid:durableId="1731463940">
    <w:abstractNumId w:val="1"/>
  </w:num>
  <w:num w:numId="5" w16cid:durableId="1494372778">
    <w:abstractNumId w:val="3"/>
  </w:num>
  <w:num w:numId="6" w16cid:durableId="177034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BE"/>
    <w:rsid w:val="00056511"/>
    <w:rsid w:val="000C01EC"/>
    <w:rsid w:val="000F59BE"/>
    <w:rsid w:val="001972C5"/>
    <w:rsid w:val="001E1CDB"/>
    <w:rsid w:val="003C67AE"/>
    <w:rsid w:val="00450413"/>
    <w:rsid w:val="006E0890"/>
    <w:rsid w:val="00706B30"/>
    <w:rsid w:val="00852AA0"/>
    <w:rsid w:val="009B43AB"/>
    <w:rsid w:val="00AC747B"/>
    <w:rsid w:val="00B1729B"/>
    <w:rsid w:val="00CB293B"/>
    <w:rsid w:val="00D07132"/>
    <w:rsid w:val="00DF1710"/>
    <w:rsid w:val="00E043E5"/>
    <w:rsid w:val="00F40AAF"/>
    <w:rsid w:val="031D0F07"/>
    <w:rsid w:val="0B550264"/>
    <w:rsid w:val="0C27AF74"/>
    <w:rsid w:val="0EC5451E"/>
    <w:rsid w:val="281412C9"/>
    <w:rsid w:val="291546AF"/>
    <w:rsid w:val="3BB0D28D"/>
    <w:rsid w:val="4CBAB94A"/>
    <w:rsid w:val="6A6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448A"/>
  <w14:defaultImageDpi w14:val="32767"/>
  <w15:chartTrackingRefBased/>
  <w15:docId w15:val="{309BB600-BD7E-2548-B0C5-88342BD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59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59BE"/>
  </w:style>
  <w:style w:type="character" w:customStyle="1" w:styleId="eop">
    <w:name w:val="eop"/>
    <w:basedOn w:val="DefaultParagraphFont"/>
    <w:rsid w:val="000F59BE"/>
  </w:style>
  <w:style w:type="paragraph" w:styleId="BalloonText">
    <w:name w:val="Balloon Text"/>
    <w:basedOn w:val="Normal"/>
    <w:link w:val="BalloonTextChar"/>
    <w:uiPriority w:val="99"/>
    <w:semiHidden/>
    <w:unhideWhenUsed/>
    <w:rsid w:val="003C67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A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7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y.louisville.edu/uarc/tachau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SSZWgyp6h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1FB36CDF2F6439E30CE59C24E4BF9" ma:contentTypeVersion="16" ma:contentTypeDescription="Create a new document." ma:contentTypeScope="" ma:versionID="10abfc025e52102c7ac534012dc52261">
  <xsd:schema xmlns:xsd="http://www.w3.org/2001/XMLSchema" xmlns:xs="http://www.w3.org/2001/XMLSchema" xmlns:p="http://schemas.microsoft.com/office/2006/metadata/properties" xmlns:ns2="92826cb5-3fe1-46bd-8aa7-a0547e2dc147" xmlns:ns3="4eb00779-3a1d-49cb-a3f5-effcb66af07f" targetNamespace="http://schemas.microsoft.com/office/2006/metadata/properties" ma:root="true" ma:fieldsID="93fa2315f7b730ee1c30b6d2b14a2ef0" ns2:_="" ns3:_="">
    <xsd:import namespace="92826cb5-3fe1-46bd-8aa7-a0547e2dc147"/>
    <xsd:import namespace="4eb00779-3a1d-49cb-a3f5-effcb66af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6cb5-3fe1-46bd-8aa7-a0547e2dc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9aeee01-be69-4027-8c27-9c43c59eb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00779-3a1d-49cb-a3f5-effcb66af0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04280fc-f500-4416-99ce-c67034e56342}" ma:internalName="TaxCatchAll" ma:showField="CatchAllData" ma:web="4eb00779-3a1d-49cb-a3f5-effcb66af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b00779-3a1d-49cb-a3f5-effcb66af07f" xsi:nil="true"/>
    <lcf76f155ced4ddcb4097134ff3c332f xmlns="92826cb5-3fe1-46bd-8aa7-a0547e2dc1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8DBB9-761D-422D-B6A4-FB1FA64D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26cb5-3fe1-46bd-8aa7-a0547e2dc147"/>
    <ds:schemaRef ds:uri="4eb00779-3a1d-49cb-a3f5-effcb66af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22DE-7C4D-412C-8771-1D15E91F4D99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eb00779-3a1d-49cb-a3f5-effcb66af07f"/>
    <ds:schemaRef ds:uri="http://schemas.microsoft.com/office/2006/metadata/properties"/>
    <ds:schemaRef ds:uri="92826cb5-3fe1-46bd-8aa7-a0547e2dc14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122F59-4594-41BC-8E32-4BF6D8004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Jones, Jamieca Aiesha</cp:lastModifiedBy>
  <cp:revision>2</cp:revision>
  <cp:lastPrinted>2020-09-25T21:19:00Z</cp:lastPrinted>
  <dcterms:created xsi:type="dcterms:W3CDTF">2023-01-17T21:32:00Z</dcterms:created>
  <dcterms:modified xsi:type="dcterms:W3CDTF">2023-01-17T21:32:00Z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0x0101003DE1FB36CDF2F6439E30CE59C24E4BF9</vt:lpwstr>
  </property>
  <property fmtid="{D5CDD505-2E9C-101B-9397-08002B2CF9AE}" pid="3" name="MediaServiceImageTags">
    <vt:lpwstr/>
  </property>
</Properties>
</file>