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0DC" w:rsidRDefault="002320DC" w:rsidP="002320DC">
      <w:pPr>
        <w:rPr>
          <w:rFonts w:ascii="Calibri" w:hAnsi="Calibri"/>
          <w:sz w:val="22"/>
          <w:szCs w:val="22"/>
        </w:rPr>
      </w:pPr>
      <w:bookmarkStart w:id="0" w:name="_GoBack"/>
      <w:bookmarkEnd w:id="0"/>
      <w:r>
        <w:rPr>
          <w:rFonts w:ascii="Calibri" w:hAnsi="Calibri"/>
          <w:sz w:val="22"/>
          <w:szCs w:val="22"/>
        </w:rPr>
        <w:t xml:space="preserve">Thanks for attending </w:t>
      </w:r>
      <w:r>
        <w:rPr>
          <w:rFonts w:ascii="Calibri" w:hAnsi="Calibri"/>
          <w:i/>
          <w:iCs/>
          <w:sz w:val="22"/>
          <w:szCs w:val="22"/>
        </w:rPr>
        <w:t>“Managing Your Money During the COVID-19 Pandemic”</w:t>
      </w:r>
      <w:r>
        <w:rPr>
          <w:rFonts w:ascii="Calibri" w:hAnsi="Calibri"/>
          <w:sz w:val="22"/>
          <w:szCs w:val="22"/>
        </w:rPr>
        <w:t xml:space="preserve">. I hope you found the information helpful as we all work to gain control of our finances during this unique and challenging time. We included many links and resources during the session; here’s the full list for your reference along with a basic recap of the points discussed. If you have any follow-up questions, please don’t hesitate to reach out to us at </w:t>
      </w:r>
      <w:hyperlink r:id="rId5" w:history="1">
        <w:r>
          <w:rPr>
            <w:rStyle w:val="Hyperlink"/>
            <w:rFonts w:ascii="Calibri" w:hAnsi="Calibri"/>
            <w:sz w:val="22"/>
            <w:szCs w:val="22"/>
          </w:rPr>
          <w:t>EducationServices@AccessLex.org</w:t>
        </w:r>
      </w:hyperlink>
      <w:r>
        <w:rPr>
          <w:rFonts w:ascii="Calibri" w:hAnsi="Calibri"/>
          <w:sz w:val="22"/>
          <w:szCs w:val="22"/>
        </w:rPr>
        <w:t xml:space="preserve"> or to schedule a call, visit </w:t>
      </w:r>
      <w:hyperlink r:id="rId6" w:history="1">
        <w:r>
          <w:rPr>
            <w:rStyle w:val="Hyperlink"/>
            <w:rFonts w:ascii="Calibri" w:hAnsi="Calibri"/>
            <w:sz w:val="22"/>
            <w:szCs w:val="22"/>
          </w:rPr>
          <w:t>AccessLex.org/</w:t>
        </w:r>
        <w:proofErr w:type="spellStart"/>
        <w:r>
          <w:rPr>
            <w:rStyle w:val="Hyperlink"/>
            <w:rFonts w:ascii="Calibri" w:hAnsi="Calibri"/>
            <w:sz w:val="22"/>
            <w:szCs w:val="22"/>
          </w:rPr>
          <w:t>AccessConnex</w:t>
        </w:r>
        <w:proofErr w:type="spellEnd"/>
      </w:hyperlink>
      <w:r>
        <w:rPr>
          <w:rFonts w:ascii="Calibri" w:hAnsi="Calibri"/>
          <w:sz w:val="22"/>
          <w:szCs w:val="22"/>
        </w:rPr>
        <w:t xml:space="preserve">. </w:t>
      </w:r>
    </w:p>
    <w:p w:rsidR="002320DC" w:rsidRDefault="002320DC" w:rsidP="002320DC">
      <w:pPr>
        <w:rPr>
          <w:rFonts w:ascii="Calibri" w:hAnsi="Calibri"/>
          <w:sz w:val="22"/>
          <w:szCs w:val="22"/>
        </w:rPr>
      </w:pPr>
      <w:r>
        <w:rPr>
          <w:rFonts w:ascii="Calibri" w:hAnsi="Calibri"/>
          <w:sz w:val="22"/>
          <w:szCs w:val="22"/>
        </w:rPr>
        <w:t> </w:t>
      </w:r>
    </w:p>
    <w:p w:rsidR="002320DC" w:rsidRDefault="002320DC" w:rsidP="002320DC">
      <w:pPr>
        <w:rPr>
          <w:rFonts w:ascii="Calibri" w:hAnsi="Calibri"/>
          <w:sz w:val="22"/>
          <w:szCs w:val="22"/>
        </w:rPr>
      </w:pPr>
      <w:r>
        <w:rPr>
          <w:rFonts w:ascii="Calibri" w:hAnsi="Calibri"/>
          <w:b/>
          <w:bCs/>
          <w:sz w:val="22"/>
          <w:szCs w:val="22"/>
        </w:rPr>
        <w:t>Session Handout</w:t>
      </w:r>
    </w:p>
    <w:p w:rsidR="002320DC" w:rsidRDefault="002320DC" w:rsidP="002320DC">
      <w:pPr>
        <w:rPr>
          <w:rFonts w:ascii="Calibri" w:hAnsi="Calibri"/>
          <w:sz w:val="22"/>
          <w:szCs w:val="22"/>
        </w:rPr>
      </w:pPr>
      <w:r>
        <w:rPr>
          <w:rFonts w:ascii="Calibri" w:hAnsi="Calibri"/>
          <w:sz w:val="22"/>
          <w:szCs w:val="22"/>
        </w:rPr>
        <w:t> </w:t>
      </w:r>
    </w:p>
    <w:p w:rsidR="002320DC" w:rsidRDefault="00B1763F" w:rsidP="002320DC">
      <w:pPr>
        <w:numPr>
          <w:ilvl w:val="0"/>
          <w:numId w:val="1"/>
        </w:numPr>
        <w:rPr>
          <w:rFonts w:ascii="Calibri" w:eastAsia="Times New Roman" w:hAnsi="Calibri"/>
          <w:sz w:val="22"/>
          <w:szCs w:val="22"/>
        </w:rPr>
      </w:pPr>
      <w:hyperlink r:id="rId7" w:history="1">
        <w:r w:rsidR="002320DC">
          <w:rPr>
            <w:rStyle w:val="Hyperlink"/>
            <w:rFonts w:ascii="Calibri" w:eastAsia="Times New Roman" w:hAnsi="Calibri"/>
            <w:sz w:val="22"/>
            <w:szCs w:val="22"/>
          </w:rPr>
          <w:t>Financial Security in Uncertain Times Worksheet</w:t>
        </w:r>
      </w:hyperlink>
      <w:r w:rsidR="002320DC">
        <w:rPr>
          <w:rFonts w:ascii="Calibri" w:eastAsia="Times New Roman" w:hAnsi="Calibri"/>
          <w:sz w:val="22"/>
          <w:szCs w:val="22"/>
        </w:rPr>
        <w:t xml:space="preserve"> – Walk through the four steps to financial stability discussed during the webinar using this worksheet.</w:t>
      </w:r>
    </w:p>
    <w:p w:rsidR="002320DC" w:rsidRDefault="002320DC" w:rsidP="002320DC">
      <w:pPr>
        <w:rPr>
          <w:rFonts w:ascii="Calibri" w:hAnsi="Calibri"/>
          <w:sz w:val="22"/>
          <w:szCs w:val="22"/>
        </w:rPr>
      </w:pPr>
      <w:r>
        <w:rPr>
          <w:rFonts w:ascii="Calibri" w:hAnsi="Calibri"/>
          <w:sz w:val="22"/>
          <w:szCs w:val="22"/>
        </w:rPr>
        <w:t> </w:t>
      </w:r>
    </w:p>
    <w:p w:rsidR="002320DC" w:rsidRDefault="002320DC" w:rsidP="002320DC">
      <w:pPr>
        <w:rPr>
          <w:rFonts w:ascii="Calibri" w:hAnsi="Calibri"/>
          <w:sz w:val="22"/>
          <w:szCs w:val="22"/>
        </w:rPr>
      </w:pPr>
      <w:r>
        <w:rPr>
          <w:rFonts w:ascii="Calibri" w:hAnsi="Calibri"/>
          <w:b/>
          <w:bCs/>
          <w:sz w:val="22"/>
          <w:szCs w:val="22"/>
        </w:rPr>
        <w:t>CARES Act Information</w:t>
      </w:r>
    </w:p>
    <w:p w:rsidR="002320DC" w:rsidRDefault="002320DC" w:rsidP="002320DC">
      <w:pPr>
        <w:rPr>
          <w:rFonts w:ascii="Calibri" w:hAnsi="Calibri"/>
          <w:sz w:val="22"/>
          <w:szCs w:val="22"/>
        </w:rPr>
      </w:pPr>
      <w:r>
        <w:rPr>
          <w:rFonts w:ascii="Calibri" w:hAnsi="Calibri"/>
          <w:sz w:val="22"/>
          <w:szCs w:val="22"/>
        </w:rPr>
        <w:t> </w:t>
      </w:r>
    </w:p>
    <w:p w:rsidR="002320DC" w:rsidRDefault="00B1763F" w:rsidP="002320DC">
      <w:pPr>
        <w:numPr>
          <w:ilvl w:val="0"/>
          <w:numId w:val="2"/>
        </w:numPr>
        <w:rPr>
          <w:rFonts w:ascii="Calibri" w:eastAsia="Times New Roman" w:hAnsi="Calibri"/>
          <w:sz w:val="22"/>
          <w:szCs w:val="22"/>
        </w:rPr>
      </w:pPr>
      <w:hyperlink r:id="rId8" w:history="1">
        <w:r w:rsidR="002320DC">
          <w:rPr>
            <w:rStyle w:val="Hyperlink"/>
            <w:rFonts w:ascii="Calibri" w:eastAsia="Times New Roman" w:hAnsi="Calibri"/>
            <w:sz w:val="22"/>
            <w:szCs w:val="22"/>
          </w:rPr>
          <w:t>Department of Education’s Federal Student Aid Coronavirus FAQs</w:t>
        </w:r>
      </w:hyperlink>
      <w:r w:rsidR="002320DC">
        <w:rPr>
          <w:rFonts w:ascii="Calibri" w:eastAsia="Times New Roman" w:hAnsi="Calibri"/>
          <w:sz w:val="22"/>
          <w:szCs w:val="22"/>
        </w:rPr>
        <w:t xml:space="preserve"> – All eligible federal loan payments will be suspended through September 30, 2020 at 0% interest. Visit this link for an updated FAQ on student loan payment suspension, interest relief, and more.</w:t>
      </w:r>
    </w:p>
    <w:p w:rsidR="002320DC" w:rsidRDefault="00B1763F" w:rsidP="002320DC">
      <w:pPr>
        <w:numPr>
          <w:ilvl w:val="0"/>
          <w:numId w:val="2"/>
        </w:numPr>
        <w:rPr>
          <w:rFonts w:ascii="Calibri" w:eastAsia="Times New Roman" w:hAnsi="Calibri"/>
          <w:sz w:val="22"/>
          <w:szCs w:val="22"/>
        </w:rPr>
      </w:pPr>
      <w:hyperlink r:id="rId9" w:history="1">
        <w:r w:rsidR="002320DC">
          <w:rPr>
            <w:rStyle w:val="Hyperlink"/>
            <w:rFonts w:ascii="Calibri" w:eastAsia="Times New Roman" w:hAnsi="Calibri"/>
            <w:sz w:val="22"/>
            <w:szCs w:val="22"/>
          </w:rPr>
          <w:t>Department of Labor’s Unemployment Insurance Information</w:t>
        </w:r>
      </w:hyperlink>
      <w:r w:rsidR="002320DC">
        <w:rPr>
          <w:rFonts w:ascii="Calibri" w:eastAsia="Times New Roman" w:hAnsi="Calibri"/>
          <w:sz w:val="22"/>
          <w:szCs w:val="22"/>
        </w:rPr>
        <w:t xml:space="preserve"> - There are significant unemployment insurance flexibilities for eligible filers during the COVID-19 outbreak. If your employment has been impacted by COVID-19, refer to your state’s website for further information. College students/recent graduates are generally not eligible for unemployment insurance. If you are not eligible due to lack of work history, etc., ask your school about potential emergency relief funding options.</w:t>
      </w:r>
    </w:p>
    <w:p w:rsidR="002320DC" w:rsidRDefault="00B1763F" w:rsidP="002320DC">
      <w:pPr>
        <w:numPr>
          <w:ilvl w:val="0"/>
          <w:numId w:val="2"/>
        </w:numPr>
        <w:rPr>
          <w:rFonts w:ascii="Calibri" w:eastAsia="Times New Roman" w:hAnsi="Calibri"/>
          <w:sz w:val="22"/>
          <w:szCs w:val="22"/>
        </w:rPr>
      </w:pPr>
      <w:hyperlink r:id="rId10" w:history="1">
        <w:r w:rsidR="002320DC">
          <w:rPr>
            <w:rStyle w:val="Hyperlink"/>
            <w:rFonts w:ascii="Calibri" w:eastAsia="Times New Roman" w:hAnsi="Calibri"/>
            <w:sz w:val="22"/>
            <w:szCs w:val="22"/>
          </w:rPr>
          <w:t>Economic Impact Payment Information Center</w:t>
        </w:r>
      </w:hyperlink>
      <w:r w:rsidR="002320DC">
        <w:rPr>
          <w:rFonts w:ascii="Calibri" w:eastAsia="Times New Roman" w:hAnsi="Calibri"/>
          <w:sz w:val="22"/>
          <w:szCs w:val="22"/>
        </w:rPr>
        <w:t xml:space="preserve"> </w:t>
      </w:r>
      <w:proofErr w:type="gramStart"/>
      <w:r w:rsidR="002320DC">
        <w:rPr>
          <w:rFonts w:ascii="Calibri" w:eastAsia="Times New Roman" w:hAnsi="Calibri"/>
          <w:sz w:val="22"/>
          <w:szCs w:val="22"/>
        </w:rPr>
        <w:t>-  This</w:t>
      </w:r>
      <w:proofErr w:type="gramEnd"/>
      <w:r w:rsidR="002320DC">
        <w:rPr>
          <w:rFonts w:ascii="Calibri" w:eastAsia="Times New Roman" w:hAnsi="Calibri"/>
          <w:sz w:val="22"/>
          <w:szCs w:val="22"/>
        </w:rPr>
        <w:t xml:space="preserve"> information from the IRS covers eligibility for economic impact payments and related tax-return questions. College students or older dependents who can be claimed on a parent’s return are not eligible for economic impact payments. If this applies to you, seek alternative relief options such as emergency relief funding through your institution.</w:t>
      </w:r>
    </w:p>
    <w:p w:rsidR="002320DC" w:rsidRDefault="00B1763F" w:rsidP="002320DC">
      <w:pPr>
        <w:numPr>
          <w:ilvl w:val="0"/>
          <w:numId w:val="2"/>
        </w:numPr>
        <w:rPr>
          <w:rFonts w:ascii="Calibri" w:eastAsia="Times New Roman" w:hAnsi="Calibri"/>
          <w:sz w:val="22"/>
          <w:szCs w:val="22"/>
        </w:rPr>
      </w:pPr>
      <w:hyperlink r:id="rId11" w:history="1">
        <w:r w:rsidR="002320DC">
          <w:rPr>
            <w:rStyle w:val="Hyperlink"/>
            <w:rFonts w:ascii="Calibri" w:eastAsia="Times New Roman" w:hAnsi="Calibri"/>
            <w:sz w:val="22"/>
            <w:szCs w:val="22"/>
          </w:rPr>
          <w:t>Small Business Guidance and Loan Resources</w:t>
        </w:r>
      </w:hyperlink>
      <w:r w:rsidR="002320DC">
        <w:rPr>
          <w:rFonts w:ascii="Calibri" w:eastAsia="Times New Roman" w:hAnsi="Calibri"/>
          <w:sz w:val="22"/>
          <w:szCs w:val="22"/>
        </w:rPr>
        <w:t xml:space="preserve"> – The Small Business Administration (SBA) site offers details on expanded relief programs for small business owners, including funding options such as the Paycheck Protection Program, EIDL Loan Advance, SBA Express Bridge Loans, and SBA Debt Relief. </w:t>
      </w:r>
    </w:p>
    <w:p w:rsidR="002320DC" w:rsidRDefault="002320DC" w:rsidP="002320DC">
      <w:pPr>
        <w:rPr>
          <w:rFonts w:ascii="Calibri" w:hAnsi="Calibri"/>
          <w:sz w:val="22"/>
          <w:szCs w:val="22"/>
        </w:rPr>
      </w:pPr>
      <w:r>
        <w:rPr>
          <w:rFonts w:ascii="Calibri" w:hAnsi="Calibri"/>
          <w:sz w:val="22"/>
          <w:szCs w:val="22"/>
        </w:rPr>
        <w:t> </w:t>
      </w:r>
    </w:p>
    <w:p w:rsidR="002320DC" w:rsidRDefault="002320DC" w:rsidP="002320DC">
      <w:pPr>
        <w:rPr>
          <w:rFonts w:ascii="Calibri" w:hAnsi="Calibri"/>
          <w:sz w:val="22"/>
          <w:szCs w:val="22"/>
        </w:rPr>
      </w:pPr>
      <w:proofErr w:type="spellStart"/>
      <w:r>
        <w:rPr>
          <w:rFonts w:ascii="Calibri" w:hAnsi="Calibri"/>
          <w:b/>
          <w:bCs/>
          <w:sz w:val="22"/>
          <w:szCs w:val="22"/>
        </w:rPr>
        <w:t>AccessLex</w:t>
      </w:r>
      <w:proofErr w:type="spellEnd"/>
      <w:r>
        <w:rPr>
          <w:rFonts w:ascii="Calibri" w:hAnsi="Calibri"/>
          <w:b/>
          <w:bCs/>
          <w:sz w:val="22"/>
          <w:szCs w:val="22"/>
        </w:rPr>
        <w:t xml:space="preserve"> Institute Resources</w:t>
      </w:r>
    </w:p>
    <w:p w:rsidR="002320DC" w:rsidRDefault="002320DC" w:rsidP="002320DC">
      <w:pPr>
        <w:rPr>
          <w:rFonts w:ascii="Calibri" w:hAnsi="Calibri"/>
          <w:sz w:val="22"/>
          <w:szCs w:val="22"/>
        </w:rPr>
      </w:pPr>
      <w:r>
        <w:rPr>
          <w:rFonts w:ascii="Calibri" w:hAnsi="Calibri"/>
          <w:sz w:val="22"/>
          <w:szCs w:val="22"/>
        </w:rPr>
        <w:t> </w:t>
      </w:r>
    </w:p>
    <w:p w:rsidR="002320DC" w:rsidRDefault="00B1763F" w:rsidP="002320DC">
      <w:pPr>
        <w:numPr>
          <w:ilvl w:val="0"/>
          <w:numId w:val="3"/>
        </w:numPr>
        <w:rPr>
          <w:rFonts w:ascii="Calibri" w:eastAsia="Times New Roman" w:hAnsi="Calibri"/>
          <w:sz w:val="22"/>
          <w:szCs w:val="22"/>
        </w:rPr>
      </w:pPr>
      <w:hyperlink r:id="rId12" w:history="1">
        <w:r w:rsidR="002320DC">
          <w:rPr>
            <w:rStyle w:val="Hyperlink"/>
            <w:rFonts w:ascii="Calibri" w:eastAsia="Times New Roman" w:hAnsi="Calibri"/>
            <w:sz w:val="22"/>
            <w:szCs w:val="22"/>
          </w:rPr>
          <w:t>COVID-19 Updates and Resources</w:t>
        </w:r>
      </w:hyperlink>
      <w:r w:rsidR="002320DC">
        <w:rPr>
          <w:rFonts w:ascii="Calibri" w:eastAsia="Times New Roman" w:hAnsi="Calibri"/>
          <w:sz w:val="22"/>
          <w:szCs w:val="22"/>
        </w:rPr>
        <w:t xml:space="preserve"> – </w:t>
      </w:r>
      <w:proofErr w:type="spellStart"/>
      <w:r w:rsidR="002320DC">
        <w:rPr>
          <w:rFonts w:ascii="Calibri" w:eastAsia="Times New Roman" w:hAnsi="Calibri"/>
          <w:sz w:val="22"/>
          <w:szCs w:val="22"/>
        </w:rPr>
        <w:t>AccessLex</w:t>
      </w:r>
      <w:proofErr w:type="spellEnd"/>
      <w:r w:rsidR="002320DC">
        <w:rPr>
          <w:rFonts w:ascii="Calibri" w:eastAsia="Times New Roman" w:hAnsi="Calibri"/>
          <w:sz w:val="22"/>
          <w:szCs w:val="22"/>
        </w:rPr>
        <w:t xml:space="preserve"> Institute’s landing page for updates and resources relating to the COVID 19 pandemic. This will be updated frequently, so check back regularly.</w:t>
      </w:r>
    </w:p>
    <w:p w:rsidR="002320DC" w:rsidRDefault="00B1763F" w:rsidP="002320DC">
      <w:pPr>
        <w:numPr>
          <w:ilvl w:val="0"/>
          <w:numId w:val="3"/>
        </w:numPr>
        <w:rPr>
          <w:rFonts w:ascii="Calibri" w:eastAsia="Times New Roman" w:hAnsi="Calibri"/>
          <w:sz w:val="22"/>
          <w:szCs w:val="22"/>
        </w:rPr>
      </w:pPr>
      <w:hyperlink r:id="rId13" w:history="1">
        <w:proofErr w:type="spellStart"/>
        <w:r w:rsidR="002320DC">
          <w:rPr>
            <w:rStyle w:val="Hyperlink"/>
            <w:rFonts w:ascii="Calibri" w:eastAsia="Times New Roman" w:hAnsi="Calibri"/>
            <w:sz w:val="22"/>
            <w:szCs w:val="22"/>
          </w:rPr>
          <w:t>AccessConnex</w:t>
        </w:r>
        <w:proofErr w:type="spellEnd"/>
        <w:r w:rsidR="002320DC">
          <w:rPr>
            <w:rStyle w:val="Hyperlink"/>
            <w:rFonts w:ascii="Calibri" w:eastAsia="Times New Roman" w:hAnsi="Calibri"/>
            <w:sz w:val="22"/>
            <w:szCs w:val="22"/>
          </w:rPr>
          <w:t xml:space="preserve"> Financi</w:t>
        </w:r>
        <w:r w:rsidR="002320DC">
          <w:rPr>
            <w:rStyle w:val="Hyperlink"/>
            <w:rFonts w:ascii="Calibri" w:eastAsia="Times New Roman" w:hAnsi="Calibri"/>
            <w:color w:val="auto"/>
            <w:sz w:val="22"/>
            <w:szCs w:val="22"/>
          </w:rPr>
          <w:t>al</w:t>
        </w:r>
        <w:r w:rsidR="002320DC">
          <w:rPr>
            <w:rStyle w:val="Hyperlink"/>
            <w:rFonts w:ascii="Calibri" w:eastAsia="Times New Roman" w:hAnsi="Calibri"/>
            <w:sz w:val="22"/>
            <w:szCs w:val="22"/>
          </w:rPr>
          <w:t xml:space="preserve"> Coaching</w:t>
        </w:r>
      </w:hyperlink>
      <w:r w:rsidR="002320DC">
        <w:rPr>
          <w:rFonts w:ascii="Calibri" w:eastAsia="Times New Roman" w:hAnsi="Calibri"/>
          <w:sz w:val="22"/>
          <w:szCs w:val="22"/>
        </w:rPr>
        <w:t xml:space="preserve"> – Call or schedule a free appointment to speak with one of our Accredited Financial Counselors®.</w:t>
      </w:r>
    </w:p>
    <w:p w:rsidR="002320DC" w:rsidRDefault="00B1763F" w:rsidP="002320DC">
      <w:pPr>
        <w:numPr>
          <w:ilvl w:val="0"/>
          <w:numId w:val="3"/>
        </w:numPr>
        <w:rPr>
          <w:rFonts w:ascii="Calibri" w:eastAsia="Times New Roman" w:hAnsi="Calibri"/>
          <w:sz w:val="22"/>
          <w:szCs w:val="22"/>
        </w:rPr>
      </w:pPr>
      <w:hyperlink r:id="rId14" w:history="1">
        <w:proofErr w:type="spellStart"/>
        <w:r w:rsidR="002320DC">
          <w:rPr>
            <w:rStyle w:val="Hyperlink"/>
            <w:rFonts w:ascii="Calibri" w:eastAsia="Times New Roman" w:hAnsi="Calibri"/>
            <w:sz w:val="22"/>
            <w:szCs w:val="22"/>
          </w:rPr>
          <w:t>AccessLex</w:t>
        </w:r>
        <w:proofErr w:type="spellEnd"/>
        <w:r w:rsidR="002320DC">
          <w:rPr>
            <w:rStyle w:val="Hyperlink"/>
            <w:rFonts w:ascii="Calibri" w:eastAsia="Times New Roman" w:hAnsi="Calibri"/>
            <w:sz w:val="22"/>
            <w:szCs w:val="22"/>
          </w:rPr>
          <w:t xml:space="preserve"> Institute Webinars</w:t>
        </w:r>
      </w:hyperlink>
      <w:r w:rsidR="002320DC">
        <w:rPr>
          <w:rFonts w:ascii="Calibri" w:eastAsia="Times New Roman" w:hAnsi="Calibri"/>
          <w:sz w:val="22"/>
          <w:szCs w:val="22"/>
        </w:rPr>
        <w:t xml:space="preserve"> – See our full schedule of open-enrollment webinars on various financial topics.</w:t>
      </w:r>
    </w:p>
    <w:p w:rsidR="002320DC" w:rsidRDefault="00B1763F" w:rsidP="002320DC">
      <w:pPr>
        <w:numPr>
          <w:ilvl w:val="0"/>
          <w:numId w:val="3"/>
        </w:numPr>
        <w:rPr>
          <w:rFonts w:ascii="Calibri" w:eastAsia="Times New Roman" w:hAnsi="Calibri"/>
          <w:sz w:val="22"/>
          <w:szCs w:val="22"/>
        </w:rPr>
      </w:pPr>
      <w:hyperlink r:id="rId15" w:history="1">
        <w:r w:rsidR="002320DC">
          <w:rPr>
            <w:rStyle w:val="Hyperlink"/>
            <w:rFonts w:ascii="Calibri" w:eastAsia="Times New Roman" w:hAnsi="Calibri"/>
            <w:sz w:val="22"/>
            <w:szCs w:val="22"/>
          </w:rPr>
          <w:t>LEX Talk Money! Podcast</w:t>
        </w:r>
      </w:hyperlink>
      <w:r w:rsidR="002320DC">
        <w:rPr>
          <w:rFonts w:ascii="Calibri" w:eastAsia="Times New Roman" w:hAnsi="Calibri"/>
          <w:sz w:val="22"/>
          <w:szCs w:val="22"/>
        </w:rPr>
        <w:t xml:space="preserve"> – Join co-hosts Ann </w:t>
      </w:r>
      <w:proofErr w:type="spellStart"/>
      <w:r w:rsidR="002320DC">
        <w:rPr>
          <w:rFonts w:ascii="Calibri" w:eastAsia="Times New Roman" w:hAnsi="Calibri"/>
          <w:sz w:val="22"/>
          <w:szCs w:val="22"/>
        </w:rPr>
        <w:t>Durandetta</w:t>
      </w:r>
      <w:proofErr w:type="spellEnd"/>
      <w:r w:rsidR="002320DC">
        <w:rPr>
          <w:rFonts w:ascii="Calibri" w:eastAsia="Times New Roman" w:hAnsi="Calibri"/>
          <w:sz w:val="22"/>
          <w:szCs w:val="22"/>
        </w:rPr>
        <w:t xml:space="preserve"> and Derek Brainard as they discuss financial matters that matter most to graduate and professional students.</w:t>
      </w:r>
    </w:p>
    <w:p w:rsidR="002320DC" w:rsidRDefault="002320DC" w:rsidP="002320DC">
      <w:pPr>
        <w:rPr>
          <w:rFonts w:ascii="Calibri" w:hAnsi="Calibri"/>
          <w:sz w:val="22"/>
          <w:szCs w:val="22"/>
        </w:rPr>
      </w:pPr>
      <w:r>
        <w:rPr>
          <w:rFonts w:ascii="Calibri" w:hAnsi="Calibri"/>
          <w:sz w:val="22"/>
          <w:szCs w:val="22"/>
        </w:rPr>
        <w:t> </w:t>
      </w:r>
    </w:p>
    <w:p w:rsidR="002320DC" w:rsidRDefault="002320DC" w:rsidP="002320DC">
      <w:pPr>
        <w:rPr>
          <w:rFonts w:ascii="Calibri" w:hAnsi="Calibri"/>
          <w:sz w:val="22"/>
          <w:szCs w:val="22"/>
        </w:rPr>
      </w:pPr>
      <w:r>
        <w:rPr>
          <w:rFonts w:ascii="Calibri" w:hAnsi="Calibri"/>
          <w:sz w:val="22"/>
          <w:szCs w:val="22"/>
        </w:rPr>
        <w:t> </w:t>
      </w:r>
    </w:p>
    <w:tbl>
      <w:tblPr>
        <w:tblW w:w="0" w:type="auto"/>
        <w:tblInd w:w="108" w:type="dxa"/>
        <w:tblCellMar>
          <w:left w:w="0" w:type="dxa"/>
          <w:right w:w="0" w:type="dxa"/>
        </w:tblCellMar>
        <w:tblLook w:val="04A0" w:firstRow="1" w:lastRow="0" w:firstColumn="1" w:lastColumn="0" w:noHBand="0" w:noVBand="1"/>
      </w:tblPr>
      <w:tblGrid>
        <w:gridCol w:w="2513"/>
        <w:gridCol w:w="6739"/>
      </w:tblGrid>
      <w:tr w:rsidR="002320DC" w:rsidTr="002320DC">
        <w:trPr>
          <w:trHeight w:val="1530"/>
        </w:trPr>
        <w:tc>
          <w:tcPr>
            <w:tcW w:w="2515" w:type="dxa"/>
            <w:tcMar>
              <w:top w:w="0" w:type="dxa"/>
              <w:left w:w="108" w:type="dxa"/>
              <w:bottom w:w="0" w:type="dxa"/>
              <w:right w:w="108" w:type="dxa"/>
            </w:tcMar>
            <w:hideMark/>
          </w:tcPr>
          <w:p w:rsidR="002320DC" w:rsidRDefault="002320DC">
            <w:pPr>
              <w:rPr>
                <w:rFonts w:ascii="Calibri" w:hAnsi="Calibri"/>
                <w:sz w:val="22"/>
                <w:szCs w:val="22"/>
              </w:rPr>
            </w:pPr>
            <w:r>
              <w:rPr>
                <w:rFonts w:ascii="Calibri" w:hAnsi="Calibri"/>
                <w:noProof/>
                <w:sz w:val="22"/>
                <w:szCs w:val="22"/>
              </w:rPr>
              <w:lastRenderedPageBreak/>
              <w:drawing>
                <wp:inline distT="0" distB="0" distL="0" distR="0">
                  <wp:extent cx="1378585" cy="907415"/>
                  <wp:effectExtent l="0" t="0" r="0" b="6985"/>
                  <wp:docPr id="1" name="Picture 1" descr="cid:image001.jpg@01D61341.ADA9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341.ADA9649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378585" cy="907415"/>
                          </a:xfrm>
                          <a:prstGeom prst="rect">
                            <a:avLst/>
                          </a:prstGeom>
                          <a:noFill/>
                          <a:ln>
                            <a:noFill/>
                          </a:ln>
                        </pic:spPr>
                      </pic:pic>
                    </a:graphicData>
                  </a:graphic>
                </wp:inline>
              </w:drawing>
            </w:r>
          </w:p>
        </w:tc>
        <w:tc>
          <w:tcPr>
            <w:tcW w:w="6835" w:type="dxa"/>
            <w:tcMar>
              <w:top w:w="0" w:type="dxa"/>
              <w:left w:w="108" w:type="dxa"/>
              <w:bottom w:w="0" w:type="dxa"/>
              <w:right w:w="108" w:type="dxa"/>
            </w:tcMar>
            <w:hideMark/>
          </w:tcPr>
          <w:p w:rsidR="002320DC" w:rsidRDefault="00B1763F">
            <w:pPr>
              <w:autoSpaceDE w:val="0"/>
              <w:autoSpaceDN w:val="0"/>
              <w:spacing w:line="276" w:lineRule="auto"/>
              <w:rPr>
                <w:rFonts w:ascii="Calibri" w:hAnsi="Calibri"/>
                <w:sz w:val="22"/>
                <w:szCs w:val="22"/>
              </w:rPr>
            </w:pPr>
            <w:hyperlink r:id="rId18" w:history="1">
              <w:r w:rsidR="002320DC">
                <w:rPr>
                  <w:rStyle w:val="Hyperlink"/>
                  <w:rFonts w:ascii="Calibri" w:hAnsi="Calibri"/>
                  <w:b/>
                  <w:bCs/>
                  <w:color w:val="1F4E79"/>
                  <w:sz w:val="21"/>
                  <w:szCs w:val="21"/>
                  <w:u w:val="none"/>
                </w:rPr>
                <w:t>Derek Brainard, MBA, AFC®</w:t>
              </w:r>
            </w:hyperlink>
            <w:r w:rsidR="002320DC">
              <w:rPr>
                <w:rFonts w:ascii="Calibri" w:hAnsi="Calibri"/>
                <w:b/>
                <w:bCs/>
                <w:color w:val="1F4E79"/>
                <w:sz w:val="21"/>
                <w:szCs w:val="21"/>
              </w:rPr>
              <w:t xml:space="preserve">, CRPC® </w:t>
            </w:r>
          </w:p>
          <w:p w:rsidR="002320DC" w:rsidRDefault="002320DC">
            <w:pPr>
              <w:autoSpaceDE w:val="0"/>
              <w:autoSpaceDN w:val="0"/>
              <w:spacing w:line="276" w:lineRule="auto"/>
              <w:rPr>
                <w:rFonts w:ascii="Calibri" w:hAnsi="Calibri"/>
                <w:sz w:val="22"/>
                <w:szCs w:val="22"/>
              </w:rPr>
            </w:pPr>
            <w:r>
              <w:rPr>
                <w:rFonts w:ascii="Calibri" w:hAnsi="Calibri"/>
                <w:color w:val="4C5055"/>
                <w:sz w:val="21"/>
                <w:szCs w:val="21"/>
              </w:rPr>
              <w:t>Director – Financial Education</w:t>
            </w:r>
          </w:p>
          <w:p w:rsidR="002320DC" w:rsidRDefault="002320DC">
            <w:pPr>
              <w:autoSpaceDE w:val="0"/>
              <w:autoSpaceDN w:val="0"/>
              <w:spacing w:line="276" w:lineRule="auto"/>
              <w:rPr>
                <w:rFonts w:ascii="Calibri" w:hAnsi="Calibri"/>
                <w:sz w:val="22"/>
                <w:szCs w:val="22"/>
              </w:rPr>
            </w:pPr>
            <w:proofErr w:type="spellStart"/>
            <w:r>
              <w:rPr>
                <w:rFonts w:ascii="Calibri" w:hAnsi="Calibri"/>
                <w:color w:val="4C5055"/>
                <w:sz w:val="21"/>
                <w:szCs w:val="21"/>
              </w:rPr>
              <w:t>AccessLex</w:t>
            </w:r>
            <w:proofErr w:type="spellEnd"/>
            <w:r>
              <w:rPr>
                <w:rFonts w:ascii="Calibri" w:hAnsi="Calibri"/>
                <w:color w:val="4C5055"/>
                <w:sz w:val="21"/>
                <w:szCs w:val="21"/>
              </w:rPr>
              <w:t xml:space="preserve"> Center for Education and Financial Capability®</w:t>
            </w:r>
          </w:p>
          <w:p w:rsidR="002320DC" w:rsidRDefault="002320DC">
            <w:pPr>
              <w:autoSpaceDE w:val="0"/>
              <w:autoSpaceDN w:val="0"/>
              <w:spacing w:line="276" w:lineRule="auto"/>
              <w:rPr>
                <w:rFonts w:ascii="Calibri" w:hAnsi="Calibri"/>
                <w:sz w:val="22"/>
                <w:szCs w:val="22"/>
              </w:rPr>
            </w:pPr>
            <w:r>
              <w:rPr>
                <w:rFonts w:ascii="Calibri" w:hAnsi="Calibri"/>
                <w:color w:val="4C5055"/>
                <w:sz w:val="21"/>
                <w:szCs w:val="21"/>
              </w:rPr>
              <w:t xml:space="preserve">10 North High Street, Suite 400 </w:t>
            </w:r>
            <w:proofErr w:type="gramStart"/>
            <w:r>
              <w:rPr>
                <w:rFonts w:ascii="Calibri" w:hAnsi="Calibri"/>
                <w:color w:val="4C5055"/>
                <w:sz w:val="21"/>
                <w:szCs w:val="21"/>
              </w:rPr>
              <w:t>▪  West</w:t>
            </w:r>
            <w:proofErr w:type="gramEnd"/>
            <w:r>
              <w:rPr>
                <w:rFonts w:ascii="Calibri" w:hAnsi="Calibri"/>
                <w:color w:val="4C5055"/>
                <w:sz w:val="21"/>
                <w:szCs w:val="21"/>
              </w:rPr>
              <w:t xml:space="preserve"> Chester, PA  19380</w:t>
            </w:r>
            <w:r>
              <w:rPr>
                <w:rFonts w:ascii="Calibri" w:hAnsi="Calibri"/>
                <w:color w:val="000000"/>
                <w:sz w:val="21"/>
                <w:szCs w:val="21"/>
              </w:rPr>
              <w:br/>
            </w:r>
            <w:r>
              <w:rPr>
                <w:rFonts w:ascii="Calibri" w:hAnsi="Calibri"/>
                <w:b/>
                <w:bCs/>
                <w:color w:val="1F4E79"/>
                <w:sz w:val="21"/>
                <w:szCs w:val="21"/>
              </w:rPr>
              <w:t>AccessLex.org</w:t>
            </w:r>
          </w:p>
        </w:tc>
      </w:tr>
    </w:tbl>
    <w:p w:rsidR="00221912" w:rsidRDefault="00B1763F"/>
    <w:sectPr w:rsidR="0022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0B3"/>
    <w:multiLevelType w:val="multilevel"/>
    <w:tmpl w:val="4EA0A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F7497D"/>
    <w:multiLevelType w:val="multilevel"/>
    <w:tmpl w:val="0BCA8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6652B"/>
    <w:multiLevelType w:val="multilevel"/>
    <w:tmpl w:val="C8F62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DC"/>
    <w:rsid w:val="002320DC"/>
    <w:rsid w:val="003146E8"/>
    <w:rsid w:val="00847D90"/>
    <w:rsid w:val="00B1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7B903-023B-46EC-AEF8-383DE9DA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0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0DC"/>
    <w:rPr>
      <w:color w:val="0000FF"/>
      <w:u w:val="single"/>
    </w:rPr>
  </w:style>
  <w:style w:type="paragraph" w:styleId="BalloonText">
    <w:name w:val="Balloon Text"/>
    <w:basedOn w:val="Normal"/>
    <w:link w:val="BalloonTextChar"/>
    <w:uiPriority w:val="99"/>
    <w:semiHidden/>
    <w:unhideWhenUsed/>
    <w:rsid w:val="00B17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studentaid.gov%2Fannouncements-events%2Fcoronavirus&amp;data=02%7C01%7Ctim.moore%40louisville.edu%7Cc1aaf49bc18d41c1ddae08d7e17a5805%7Cdd246e4a54344e158ae391ad9797b209%7C0%7C0%7C637225787884535459&amp;sdata=KVr9tGoJ8jZ7rrgPZxsOefr9GGmxZa9RTE9As%2FIxP6I%3D&amp;reserved=0" TargetMode="External"/><Relationship Id="rId13" Type="http://schemas.openxmlformats.org/officeDocument/2006/relationships/hyperlink" Target="https://nam03.safelinks.protection.outlook.com/?url=https%3A%2F%2Fwww.accesslex.org%2Faccessconnex&amp;data=02%7C01%7Ctim.moore%40louisville.edu%7Cc1aaf49bc18d41c1ddae08d7e17a5805%7Cdd246e4a54344e158ae391ad9797b209%7C0%7C0%7C637225787884555379&amp;sdata=kckqiDVfh%2BBRCiSMqBhwCxZTkI5BYgTKEIy7laNUdzs%3D&amp;reserved=0" TargetMode="External"/><Relationship Id="rId18" Type="http://schemas.openxmlformats.org/officeDocument/2006/relationships/hyperlink" Target="https://nam03.safelinks.protection.outlook.com/?url=https%3A%2F%2Fwww.linkedin.com%2Fin%2Fderek-brainard%2F&amp;data=02%7C01%7Ctim.moore%40louisville.edu%7Cc1aaf49bc18d41c1ddae08d7e17a5805%7Cdd246e4a54344e158ae391ad9797b209%7C0%7C0%7C637225787884565331&amp;sdata=lmBUCSWOkp7Eg4jAH8P7nytHTMkDPonC0SSnJzLmzPQ%3D&amp;reserved=0" TargetMode="External"/><Relationship Id="rId3" Type="http://schemas.openxmlformats.org/officeDocument/2006/relationships/settings" Target="settings.xml"/><Relationship Id="rId7" Type="http://schemas.openxmlformats.org/officeDocument/2006/relationships/hyperlink" Target="https://nam03.safelinks.protection.outlook.com/?url=https%3A%2F%2Fwww.accesslex.org%2Fsites%2Fdefault%2Ffiles%2F2020-04%2FFinancial_Security.pdf&amp;data=02%7C01%7Ctim.moore%40louisville.edu%7Cc1aaf49bc18d41c1ddae08d7e17a5805%7Cdd246e4a54344e158ae391ad9797b209%7C0%7C0%7C637225787884525508&amp;sdata=EFf78cgWVBwFr5HL6cf6Iyu7OyUO8Kd94Xm7EmFhBGk%3D&amp;reserved=0" TargetMode="External"/><Relationship Id="rId12" Type="http://schemas.openxmlformats.org/officeDocument/2006/relationships/hyperlink" Target="https://nam03.safelinks.protection.outlook.com/?url=https%3A%2F%2Fwww.accesslex.org%2Fcovid-19-updates-and-resources&amp;data=02%7C01%7Ctim.moore%40louisville.edu%7Cc1aaf49bc18d41c1ddae08d7e17a5805%7Cdd246e4a54344e158ae391ad9797b209%7C0%7C0%7C637225787884545426&amp;sdata=Lkvr3czaNLQKmRVj40%2Bbny47TaWtpoM49i2JERQSasc%3D&amp;reserved=0" TargetMode="External"/><Relationship Id="rId17" Type="http://schemas.openxmlformats.org/officeDocument/2006/relationships/image" Target="cid:image001.jpg@01D61341.ADA9649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03.safelinks.protection.outlook.com/?url=https%3A%2F%2Fwww.accesslex.org%2Faccessconnex&amp;data=02%7C01%7Ctim.moore%40louisville.edu%7Cc1aaf49bc18d41c1ddae08d7e17a5805%7Cdd246e4a54344e158ae391ad9797b209%7C0%7C0%7C637225787884525508&amp;sdata=hc7Mj5skbgrAMPU6rqKWlXkZByiwtWwksmdAuDhdfCs%3D&amp;reserved=0" TargetMode="External"/><Relationship Id="rId11" Type="http://schemas.openxmlformats.org/officeDocument/2006/relationships/hyperlink" Target="https://nam03.safelinks.protection.outlook.com/?url=https%3A%2F%2Fwww.sba.gov%2Fpage%2Fcoronavirus-covid-19-small-business-guidance-loan-resources&amp;data=02%7C01%7Ctim.moore%40louisville.edu%7Cc1aaf49bc18d41c1ddae08d7e17a5805%7Cdd246e4a54344e158ae391ad9797b209%7C0%7C0%7C637225787884545426&amp;sdata=vz053j2gHZbULk%2BBCasiZN60gA%2Fn4qA%2FphLG9JF5uFI%3D&amp;reserved=0" TargetMode="External"/><Relationship Id="rId5" Type="http://schemas.openxmlformats.org/officeDocument/2006/relationships/hyperlink" Target="mailto:EducationServices@AccessLex.org" TargetMode="External"/><Relationship Id="rId15" Type="http://schemas.openxmlformats.org/officeDocument/2006/relationships/hyperlink" Target="https://nam03.safelinks.protection.outlook.com/?url=https%3A%2F%2Fwww.accesslex.org%2Flex-talk-money&amp;data=02%7C01%7Ctim.moore%40louisville.edu%7Cc1aaf49bc18d41c1ddae08d7e17a5805%7Cdd246e4a54344e158ae391ad9797b209%7C0%7C0%7C637225787884565331&amp;sdata=UbNf4G%2BBOgZn7HnVsSL4hdAlw4rBD5KIPOjBdPVGMMA%3D&amp;reserved=0" TargetMode="External"/><Relationship Id="rId10" Type="http://schemas.openxmlformats.org/officeDocument/2006/relationships/hyperlink" Target="https://nam03.safelinks.protection.outlook.com/?url=https%3A%2F%2Fwww.irs.gov%2Fcoronavirus%2Feconomic-impact-payment-information-center&amp;data=02%7C01%7Ctim.moore%40louisville.edu%7Cc1aaf49bc18d41c1ddae08d7e17a5805%7Cdd246e4a54344e158ae391ad9797b209%7C0%7C0%7C637225787884535459&amp;sdata=WhOgT%2B8wwcInSyPTI%2BDY6LnNmYpUE8tWYFSd36GTC9Y%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3.safelinks.protection.outlook.com/?url=https%3A%2F%2Fwww.dol.gov%2Fgeneral%2Ftopic%2Funemployment-insurance&amp;data=02%7C01%7Ctim.moore%40louisville.edu%7Cc1aaf49bc18d41c1ddae08d7e17a5805%7Cdd246e4a54344e158ae391ad9797b209%7C0%7C0%7C637225787884535459&amp;sdata=GaioU0FM3hwfidBdL%2FjYv52vfs%2FSMTFTBbgN1fN0eWI%3D&amp;reserved=0" TargetMode="External"/><Relationship Id="rId14" Type="http://schemas.openxmlformats.org/officeDocument/2006/relationships/hyperlink" Target="https://nam03.safelinks.protection.outlook.com/?url=https%3A%2F%2Fwww.accesslex.org%2Fonlineevents&amp;data=02%7C01%7Ctim.moore%40louisville.edu%7Cc1aaf49bc18d41c1ddae08d7e17a5805%7Cdd246e4a54344e158ae391ad9797b209%7C0%7C0%7C637225787884555379&amp;sdata=BkHRTqcOaD2HKuFjcV9N7yYGIcKsTIMDMid65Kar1Y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Moore,Timothy P</dc:creator>
  <cp:keywords/>
  <dc:description/>
  <cp:lastModifiedBy>Horrar,David Paul</cp:lastModifiedBy>
  <cp:revision>2</cp:revision>
  <dcterms:created xsi:type="dcterms:W3CDTF">2020-04-16T12:21:00Z</dcterms:created>
  <dcterms:modified xsi:type="dcterms:W3CDTF">2020-04-16T12:21:00Z</dcterms:modified>
</cp:coreProperties>
</file>