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C26" w:rsidRPr="00BC072D" w:rsidRDefault="006743FE" w:rsidP="00BD5C26">
      <w:pPr>
        <w:pStyle w:val="NoSpacing"/>
        <w:jc w:val="center"/>
        <w:rPr>
          <w:b/>
          <w:sz w:val="36"/>
          <w:szCs w:val="36"/>
        </w:rPr>
      </w:pPr>
      <w:r>
        <w:rPr>
          <w:b/>
          <w:sz w:val="36"/>
          <w:szCs w:val="36"/>
        </w:rPr>
        <w:t>T</w:t>
      </w:r>
      <w:r w:rsidR="00907839">
        <w:rPr>
          <w:b/>
          <w:sz w:val="36"/>
          <w:szCs w:val="36"/>
        </w:rPr>
        <w:t>S – A</w:t>
      </w:r>
      <w:r w:rsidR="00D27957">
        <w:rPr>
          <w:b/>
          <w:sz w:val="36"/>
          <w:szCs w:val="36"/>
        </w:rPr>
        <w:t xml:space="preserve"> (</w:t>
      </w:r>
      <w:r w:rsidR="00B84ACC">
        <w:rPr>
          <w:b/>
          <w:sz w:val="36"/>
          <w:szCs w:val="36"/>
        </w:rPr>
        <w:t xml:space="preserve">1 &amp; </w:t>
      </w:r>
      <w:r w:rsidR="00F93C71">
        <w:rPr>
          <w:b/>
          <w:sz w:val="36"/>
          <w:szCs w:val="36"/>
        </w:rPr>
        <w:t>2</w:t>
      </w:r>
      <w:r w:rsidR="00D27957">
        <w:rPr>
          <w:b/>
          <w:sz w:val="36"/>
          <w:szCs w:val="36"/>
        </w:rPr>
        <w:t>)</w:t>
      </w:r>
      <w:r w:rsidR="00907839">
        <w:rPr>
          <w:b/>
          <w:sz w:val="36"/>
          <w:szCs w:val="36"/>
        </w:rPr>
        <w:t xml:space="preserve"> </w:t>
      </w:r>
      <w:r w:rsidR="00B84ACC">
        <w:rPr>
          <w:b/>
          <w:sz w:val="36"/>
          <w:szCs w:val="36"/>
        </w:rPr>
        <w:t xml:space="preserve">Access Control </w:t>
      </w:r>
    </w:p>
    <w:p w:rsidR="00BD5C26" w:rsidRDefault="00BD5C26" w:rsidP="00BD5C26"/>
    <w:p w:rsidR="001F72B2" w:rsidRDefault="001F72B2" w:rsidP="001F72B2">
      <w:pPr>
        <w:rPr>
          <w:b/>
          <w:i/>
          <w:sz w:val="28"/>
          <w:szCs w:val="28"/>
          <w:u w:val="single"/>
        </w:rPr>
      </w:pPr>
      <w:r w:rsidRPr="00563D2C">
        <w:rPr>
          <w:b/>
          <w:i/>
          <w:sz w:val="28"/>
          <w:szCs w:val="28"/>
          <w:u w:val="single"/>
        </w:rPr>
        <w:t>Purpose</w:t>
      </w:r>
    </w:p>
    <w:p w:rsidR="00B84ACC" w:rsidRDefault="00E418E2" w:rsidP="001F72B2">
      <w:r>
        <w:t>To i</w:t>
      </w:r>
      <w:r w:rsidR="00B84ACC">
        <w:t>mplement technical policies</w:t>
      </w:r>
      <w:r w:rsidR="00B84ACC" w:rsidRPr="00AA6BCB">
        <w:t xml:space="preserve"> and procedures for electronic information systems that maintain electronic protected health information to allow access only to those persons or software programs that have been granted access rights as specified in 164.308(a).</w:t>
      </w:r>
    </w:p>
    <w:p w:rsidR="00F93C71" w:rsidRPr="00A65448" w:rsidRDefault="00F93C71" w:rsidP="001F72B2">
      <w:pPr>
        <w:rPr>
          <w:rFonts w:cstheme="minorHAnsi"/>
          <w:b/>
          <w:color w:val="222222"/>
          <w:sz w:val="28"/>
          <w:szCs w:val="28"/>
          <w:u w:val="single"/>
          <w:shd w:val="clear" w:color="auto" w:fill="FFFFFF"/>
        </w:rPr>
      </w:pPr>
      <w:bookmarkStart w:id="0" w:name="_GoBack"/>
      <w:r w:rsidRPr="00A65448">
        <w:rPr>
          <w:rFonts w:cstheme="minorHAnsi"/>
          <w:b/>
          <w:color w:val="222222"/>
          <w:sz w:val="28"/>
          <w:szCs w:val="28"/>
          <w:u w:val="single"/>
          <w:shd w:val="clear" w:color="auto" w:fill="FFFFFF"/>
        </w:rPr>
        <w:t>Guidance</w:t>
      </w:r>
      <w:bookmarkEnd w:id="0"/>
      <w:r w:rsidRPr="00A65448">
        <w:rPr>
          <w:rFonts w:cstheme="minorHAnsi"/>
          <w:b/>
          <w:color w:val="222222"/>
          <w:sz w:val="28"/>
          <w:szCs w:val="28"/>
          <w:u w:val="single"/>
          <w:shd w:val="clear" w:color="auto" w:fill="FFFFFF"/>
        </w:rPr>
        <w:t xml:space="preserve"> </w:t>
      </w:r>
    </w:p>
    <w:p w:rsidR="00907839" w:rsidRPr="00E418E2" w:rsidRDefault="00907839" w:rsidP="00907839">
      <w:pPr>
        <w:rPr>
          <w:rFonts w:cstheme="minorHAnsi"/>
        </w:rPr>
      </w:pPr>
      <w:r w:rsidRPr="00E418E2">
        <w:rPr>
          <w:rFonts w:cstheme="minorHAnsi"/>
        </w:rPr>
        <w:t>Ensure the verification</w:t>
      </w:r>
      <w:r w:rsidR="00B84ACC" w:rsidRPr="00E418E2">
        <w:rPr>
          <w:rFonts w:cstheme="minorHAnsi"/>
        </w:rPr>
        <w:t xml:space="preserve"> of the individual or entity that</w:t>
      </w:r>
      <w:r w:rsidRPr="00E418E2">
        <w:rPr>
          <w:rFonts w:cstheme="minorHAnsi"/>
        </w:rPr>
        <w:t xml:space="preserve"> is authorized to access </w:t>
      </w:r>
      <w:proofErr w:type="spellStart"/>
      <w:r w:rsidRPr="00E418E2">
        <w:rPr>
          <w:rFonts w:cstheme="minorHAnsi"/>
        </w:rPr>
        <w:t>ePHI</w:t>
      </w:r>
      <w:proofErr w:type="spellEnd"/>
      <w:r w:rsidRPr="00E418E2">
        <w:rPr>
          <w:rFonts w:cstheme="minorHAnsi"/>
        </w:rPr>
        <w:t xml:space="preserve"> and that the identity is correctly bound to a unique user identification (“sign-on”) for access to </w:t>
      </w:r>
      <w:proofErr w:type="spellStart"/>
      <w:r w:rsidRPr="00E418E2">
        <w:rPr>
          <w:rFonts w:cstheme="minorHAnsi"/>
        </w:rPr>
        <w:t>ePHI</w:t>
      </w:r>
      <w:proofErr w:type="spellEnd"/>
      <w:r w:rsidRPr="00E418E2">
        <w:rPr>
          <w:rFonts w:cstheme="minorHAnsi"/>
        </w:rPr>
        <w:t>.</w:t>
      </w:r>
    </w:p>
    <w:p w:rsidR="00907839" w:rsidRPr="00E418E2" w:rsidRDefault="00B84ACC" w:rsidP="0047196F">
      <w:pPr>
        <w:numPr>
          <w:ilvl w:val="0"/>
          <w:numId w:val="26"/>
        </w:numPr>
        <w:rPr>
          <w:rFonts w:cstheme="minorHAnsi"/>
        </w:rPr>
      </w:pPr>
      <w:r w:rsidRPr="00E418E2">
        <w:rPr>
          <w:rFonts w:cstheme="minorHAnsi"/>
        </w:rPr>
        <w:t>Each u</w:t>
      </w:r>
      <w:r w:rsidR="00907839" w:rsidRPr="00E418E2">
        <w:rPr>
          <w:rFonts w:cstheme="minorHAnsi"/>
        </w:rPr>
        <w:t>ser must be provided a unique account, with a unique username/</w:t>
      </w:r>
      <w:proofErr w:type="spellStart"/>
      <w:r w:rsidR="00907839" w:rsidRPr="00E418E2">
        <w:rPr>
          <w:rFonts w:cstheme="minorHAnsi"/>
        </w:rPr>
        <w:t>userID</w:t>
      </w:r>
      <w:proofErr w:type="spellEnd"/>
      <w:r w:rsidR="00907839" w:rsidRPr="00E418E2">
        <w:rPr>
          <w:rFonts w:cstheme="minorHAnsi"/>
        </w:rPr>
        <w:t xml:space="preserve"> and password, for access to </w:t>
      </w:r>
      <w:proofErr w:type="spellStart"/>
      <w:r w:rsidR="00907839" w:rsidRPr="00E418E2">
        <w:rPr>
          <w:rFonts w:cstheme="minorHAnsi"/>
        </w:rPr>
        <w:t>ePHI</w:t>
      </w:r>
      <w:proofErr w:type="spellEnd"/>
      <w:r w:rsidR="00907839" w:rsidRPr="00E418E2">
        <w:rPr>
          <w:rFonts w:cstheme="minorHAnsi"/>
        </w:rPr>
        <w:t>.</w:t>
      </w:r>
    </w:p>
    <w:p w:rsidR="00907839" w:rsidRDefault="00907839" w:rsidP="0047196F">
      <w:pPr>
        <w:numPr>
          <w:ilvl w:val="0"/>
          <w:numId w:val="26"/>
        </w:numPr>
        <w:rPr>
          <w:rFonts w:cstheme="minorHAnsi"/>
        </w:rPr>
      </w:pPr>
      <w:r w:rsidRPr="00E418E2">
        <w:rPr>
          <w:rFonts w:cstheme="minorHAnsi"/>
        </w:rPr>
        <w:t xml:space="preserve">Generic or shared accounts are not permitted for access to </w:t>
      </w:r>
      <w:proofErr w:type="spellStart"/>
      <w:r w:rsidRPr="00E418E2">
        <w:rPr>
          <w:rFonts w:cstheme="minorHAnsi"/>
        </w:rPr>
        <w:t>ePHI</w:t>
      </w:r>
      <w:proofErr w:type="spellEnd"/>
      <w:r w:rsidRPr="00E418E2">
        <w:rPr>
          <w:rFonts w:cstheme="minorHAnsi"/>
        </w:rPr>
        <w:t>.</w:t>
      </w:r>
    </w:p>
    <w:p w:rsidR="00A65448" w:rsidRDefault="00A65448" w:rsidP="00A65448">
      <w:pPr>
        <w:rPr>
          <w:b/>
          <w:sz w:val="28"/>
          <w:szCs w:val="28"/>
        </w:rPr>
      </w:pPr>
    </w:p>
    <w:p w:rsidR="00A65448" w:rsidRPr="00B84ACC" w:rsidRDefault="00A65448" w:rsidP="00A65448">
      <w:pPr>
        <w:rPr>
          <w:b/>
          <w:sz w:val="28"/>
          <w:szCs w:val="28"/>
        </w:rPr>
      </w:pPr>
      <w:r w:rsidRPr="00B84ACC">
        <w:rPr>
          <w:b/>
          <w:sz w:val="28"/>
          <w:szCs w:val="28"/>
        </w:rPr>
        <w:t>Unique User Iden</w:t>
      </w:r>
      <w:r>
        <w:rPr>
          <w:b/>
          <w:sz w:val="28"/>
          <w:szCs w:val="28"/>
        </w:rPr>
        <w:t>ti</w:t>
      </w:r>
      <w:r w:rsidRPr="00B84ACC">
        <w:rPr>
          <w:b/>
          <w:sz w:val="28"/>
          <w:szCs w:val="28"/>
        </w:rPr>
        <w:t>fication</w:t>
      </w:r>
    </w:p>
    <w:p w:rsidR="00A65448" w:rsidRPr="00B84ACC" w:rsidRDefault="00A65448" w:rsidP="00A65448">
      <w:pPr>
        <w:rPr>
          <w:rFonts w:cstheme="minorHAnsi"/>
          <w:color w:val="222222"/>
          <w:shd w:val="clear" w:color="auto" w:fill="FFFFFF"/>
        </w:rPr>
      </w:pPr>
      <w:r w:rsidRPr="00B84ACC">
        <w:rPr>
          <w:rFonts w:cstheme="minorHAnsi"/>
          <w:color w:val="222222"/>
          <w:shd w:val="clear" w:color="auto" w:fill="FFFFFF"/>
        </w:rPr>
        <w:t>Assign a unique name and/or number for identifying and tracking user identity. 164.312(a</w:t>
      </w:r>
      <w:proofErr w:type="gramStart"/>
      <w:r w:rsidRPr="00B84ACC">
        <w:rPr>
          <w:rFonts w:cstheme="minorHAnsi"/>
          <w:color w:val="222222"/>
          <w:shd w:val="clear" w:color="auto" w:fill="FFFFFF"/>
        </w:rPr>
        <w:t>)(</w:t>
      </w:r>
      <w:proofErr w:type="gramEnd"/>
      <w:r w:rsidRPr="00B84ACC">
        <w:rPr>
          <w:rFonts w:cstheme="minorHAnsi"/>
          <w:color w:val="222222"/>
          <w:shd w:val="clear" w:color="auto" w:fill="FFFFFF"/>
        </w:rPr>
        <w:t>2)(</w:t>
      </w:r>
      <w:proofErr w:type="spellStart"/>
      <w:r w:rsidRPr="00B84ACC">
        <w:rPr>
          <w:rFonts w:cstheme="minorHAnsi"/>
          <w:color w:val="222222"/>
          <w:shd w:val="clear" w:color="auto" w:fill="FFFFFF"/>
        </w:rPr>
        <w:t>i</w:t>
      </w:r>
      <w:proofErr w:type="spellEnd"/>
      <w:r w:rsidRPr="00B84ACC">
        <w:rPr>
          <w:rFonts w:cstheme="minorHAnsi"/>
          <w:color w:val="222222"/>
          <w:shd w:val="clear" w:color="auto" w:fill="FFFFFF"/>
        </w:rPr>
        <w:t>)</w:t>
      </w:r>
    </w:p>
    <w:p w:rsidR="00F93C71" w:rsidRDefault="00B84ACC" w:rsidP="001F72B2">
      <w:pPr>
        <w:rPr>
          <w:b/>
          <w:sz w:val="28"/>
          <w:szCs w:val="28"/>
        </w:rPr>
      </w:pPr>
      <w:r w:rsidRPr="00B84ACC">
        <w:rPr>
          <w:b/>
          <w:sz w:val="28"/>
          <w:szCs w:val="28"/>
        </w:rPr>
        <w:t>Emergency Access Procedure</w:t>
      </w:r>
    </w:p>
    <w:p w:rsidR="00B84ACC" w:rsidRPr="00B84ACC" w:rsidRDefault="00A65448" w:rsidP="00B84ACC">
      <w:pPr>
        <w:rPr>
          <w:rFonts w:cstheme="minorHAnsi"/>
          <w:color w:val="222222"/>
          <w:shd w:val="clear" w:color="auto" w:fill="FFFFFF"/>
        </w:rPr>
      </w:pPr>
      <w:r>
        <w:rPr>
          <w:rFonts w:cstheme="minorHAnsi"/>
          <w:color w:val="222222"/>
          <w:shd w:val="clear" w:color="auto" w:fill="FFFFFF"/>
        </w:rPr>
        <w:t xml:space="preserve">Implementation: </w:t>
      </w:r>
      <w:r w:rsidR="00B84ACC" w:rsidRPr="00B84ACC">
        <w:rPr>
          <w:rFonts w:cstheme="minorHAnsi"/>
          <w:color w:val="222222"/>
          <w:shd w:val="clear" w:color="auto" w:fill="FFFFFF"/>
        </w:rPr>
        <w:t>Establish (and implement as needed) procedures for obtaining necessary electronic protected health information during an emergency. 164.312(a</w:t>
      </w:r>
      <w:proofErr w:type="gramStart"/>
      <w:r w:rsidR="00B84ACC" w:rsidRPr="00B84ACC">
        <w:rPr>
          <w:rFonts w:cstheme="minorHAnsi"/>
          <w:color w:val="222222"/>
          <w:shd w:val="clear" w:color="auto" w:fill="FFFFFF"/>
        </w:rPr>
        <w:t>)(</w:t>
      </w:r>
      <w:proofErr w:type="gramEnd"/>
      <w:r w:rsidR="00B84ACC" w:rsidRPr="00B84ACC">
        <w:rPr>
          <w:rFonts w:cstheme="minorHAnsi"/>
          <w:color w:val="222222"/>
          <w:shd w:val="clear" w:color="auto" w:fill="FFFFFF"/>
        </w:rPr>
        <w:t>2)(ii)</w:t>
      </w:r>
    </w:p>
    <w:p w:rsidR="00B84ACC" w:rsidRPr="00B84ACC" w:rsidRDefault="00B84ACC" w:rsidP="00B84ACC">
      <w:r w:rsidRPr="00B84ACC">
        <w:t xml:space="preserve">Establish procedures to ensure that necessary </w:t>
      </w:r>
      <w:proofErr w:type="spellStart"/>
      <w:r w:rsidRPr="00B84ACC">
        <w:t>ePHI</w:t>
      </w:r>
      <w:proofErr w:type="spellEnd"/>
      <w:r w:rsidRPr="00B84ACC">
        <w:t xml:space="preserve"> can be accessed during an emergency.</w:t>
      </w:r>
    </w:p>
    <w:p w:rsidR="00B84ACC" w:rsidRPr="00B84ACC" w:rsidRDefault="00B84ACC" w:rsidP="0047196F">
      <w:pPr>
        <w:pStyle w:val="ListParagraph"/>
        <w:numPr>
          <w:ilvl w:val="0"/>
          <w:numId w:val="25"/>
        </w:numPr>
      </w:pPr>
      <w:r w:rsidRPr="00B84ACC">
        <w:t>Emergency access procedures may be included in Contingency Plan procedures (see </w:t>
      </w:r>
      <w:hyperlink r:id="rId5" w:anchor="308a7i" w:history="1">
        <w:r w:rsidRPr="0047196F">
          <w:rPr>
            <w:rStyle w:val="Hyperlink"/>
            <w:i/>
            <w:iCs/>
          </w:rPr>
          <w:t>§164.308(a</w:t>
        </w:r>
        <w:proofErr w:type="gramStart"/>
        <w:r w:rsidRPr="0047196F">
          <w:rPr>
            <w:rStyle w:val="Hyperlink"/>
            <w:i/>
            <w:iCs/>
          </w:rPr>
          <w:t>)(</w:t>
        </w:r>
        <w:proofErr w:type="gramEnd"/>
        <w:r w:rsidRPr="0047196F">
          <w:rPr>
            <w:rStyle w:val="Hyperlink"/>
            <w:i/>
            <w:iCs/>
          </w:rPr>
          <w:t>7)(</w:t>
        </w:r>
        <w:proofErr w:type="spellStart"/>
        <w:r w:rsidRPr="0047196F">
          <w:rPr>
            <w:rStyle w:val="Hyperlink"/>
            <w:i/>
            <w:iCs/>
          </w:rPr>
          <w:t>i</w:t>
        </w:r>
        <w:proofErr w:type="spellEnd"/>
        <w:r w:rsidRPr="0047196F">
          <w:rPr>
            <w:rStyle w:val="Hyperlink"/>
            <w:i/>
            <w:iCs/>
          </w:rPr>
          <w:t>) - Contingency plan</w:t>
        </w:r>
      </w:hyperlink>
      <w:r w:rsidRPr="0047196F">
        <w:rPr>
          <w:i/>
          <w:iCs/>
        </w:rPr>
        <w:t>)</w:t>
      </w:r>
      <w:r w:rsidRPr="00B84ACC">
        <w:t>.</w:t>
      </w:r>
    </w:p>
    <w:p w:rsidR="00B84ACC" w:rsidRPr="00B84ACC" w:rsidRDefault="00B84ACC" w:rsidP="0047196F">
      <w:pPr>
        <w:pStyle w:val="ListParagraph"/>
        <w:numPr>
          <w:ilvl w:val="0"/>
          <w:numId w:val="25"/>
        </w:numPr>
      </w:pPr>
      <w:r w:rsidRPr="00B84ACC">
        <w:t>The emergency access procedures shall be written and communicated in advance to multiple individuals within the organization.</w:t>
      </w:r>
    </w:p>
    <w:p w:rsidR="00B84ACC" w:rsidRPr="00B84ACC" w:rsidRDefault="00B84ACC" w:rsidP="0047196F">
      <w:pPr>
        <w:pStyle w:val="ListParagraph"/>
        <w:numPr>
          <w:ilvl w:val="0"/>
          <w:numId w:val="25"/>
        </w:numPr>
      </w:pPr>
      <w:r w:rsidRPr="00B84ACC">
        <w:t>Emergency access procedures should not rely on the availability of a single individual.</w:t>
      </w:r>
    </w:p>
    <w:p w:rsidR="00B84ACC" w:rsidRPr="00B84ACC" w:rsidRDefault="00B84ACC" w:rsidP="0047196F">
      <w:pPr>
        <w:pStyle w:val="ListParagraph"/>
        <w:numPr>
          <w:ilvl w:val="0"/>
          <w:numId w:val="25"/>
        </w:numPr>
      </w:pPr>
      <w:r w:rsidRPr="00B84ACC">
        <w:t>Access to emergency procedures should not rely on the availability of local power or network.</w:t>
      </w:r>
    </w:p>
    <w:p w:rsidR="00B84ACC" w:rsidRPr="00B84ACC" w:rsidRDefault="00B84ACC" w:rsidP="0047196F">
      <w:pPr>
        <w:pStyle w:val="ListParagraph"/>
        <w:numPr>
          <w:ilvl w:val="0"/>
          <w:numId w:val="25"/>
        </w:numPr>
      </w:pPr>
      <w:r w:rsidRPr="00B84ACC">
        <w:t>Identify roles that may require special access during an emergency.</w:t>
      </w:r>
    </w:p>
    <w:p w:rsidR="00B84ACC" w:rsidRDefault="00B84ACC" w:rsidP="0047196F">
      <w:pPr>
        <w:pStyle w:val="ListParagraph"/>
        <w:numPr>
          <w:ilvl w:val="1"/>
          <w:numId w:val="25"/>
        </w:numPr>
      </w:pPr>
      <w:r w:rsidRPr="00B84ACC">
        <w:t>Individuals are to require proper ID or other official verification before granting access to unknown or not-normally-authorized individuals in emergency circumstances</w:t>
      </w:r>
      <w:r>
        <w:t>.</w:t>
      </w:r>
    </w:p>
    <w:p w:rsidR="0047196F" w:rsidRDefault="0047196F" w:rsidP="0047196F">
      <w:pPr>
        <w:rPr>
          <w:b/>
          <w:sz w:val="28"/>
          <w:szCs w:val="28"/>
        </w:rPr>
      </w:pPr>
      <w:r w:rsidRPr="0047196F">
        <w:rPr>
          <w:b/>
          <w:sz w:val="28"/>
          <w:szCs w:val="28"/>
        </w:rPr>
        <w:t>Automatic Logoff</w:t>
      </w:r>
    </w:p>
    <w:p w:rsidR="0047196F" w:rsidRPr="00E20170" w:rsidRDefault="0047196F" w:rsidP="0047196F">
      <w:pPr>
        <w:rPr>
          <w:rFonts w:cstheme="minorHAnsi"/>
          <w:color w:val="222222"/>
          <w:shd w:val="clear" w:color="auto" w:fill="FFFFFF"/>
        </w:rPr>
      </w:pPr>
      <w:r w:rsidRPr="00E20170">
        <w:rPr>
          <w:rFonts w:cstheme="minorHAnsi"/>
          <w:color w:val="222222"/>
          <w:shd w:val="clear" w:color="auto" w:fill="FFFFFF"/>
        </w:rPr>
        <w:t>Implement</w:t>
      </w:r>
      <w:r w:rsidR="00A65448">
        <w:rPr>
          <w:rFonts w:cstheme="minorHAnsi"/>
          <w:color w:val="222222"/>
          <w:shd w:val="clear" w:color="auto" w:fill="FFFFFF"/>
        </w:rPr>
        <w:t>ation: incorporate</w:t>
      </w:r>
      <w:r w:rsidRPr="00E20170">
        <w:rPr>
          <w:rFonts w:cstheme="minorHAnsi"/>
          <w:color w:val="222222"/>
          <w:shd w:val="clear" w:color="auto" w:fill="FFFFFF"/>
        </w:rPr>
        <w:t xml:space="preserve"> electronic procedures that terminate an electronic session after a predetermined time of inactivity. 164.312(a</w:t>
      </w:r>
      <w:proofErr w:type="gramStart"/>
      <w:r w:rsidRPr="00E20170">
        <w:rPr>
          <w:rFonts w:cstheme="minorHAnsi"/>
          <w:color w:val="222222"/>
          <w:shd w:val="clear" w:color="auto" w:fill="FFFFFF"/>
        </w:rPr>
        <w:t>)(</w:t>
      </w:r>
      <w:proofErr w:type="gramEnd"/>
      <w:r w:rsidRPr="00E20170">
        <w:rPr>
          <w:rFonts w:cstheme="minorHAnsi"/>
          <w:color w:val="222222"/>
          <w:shd w:val="clear" w:color="auto" w:fill="FFFFFF"/>
        </w:rPr>
        <w:t>2)(iii)</w:t>
      </w:r>
    </w:p>
    <w:p w:rsidR="0047196F" w:rsidRPr="00E418E2" w:rsidRDefault="0047196F" w:rsidP="0047196F">
      <w:pPr>
        <w:pStyle w:val="ListParagraph"/>
        <w:numPr>
          <w:ilvl w:val="0"/>
          <w:numId w:val="24"/>
        </w:numPr>
        <w:shd w:val="clear" w:color="auto" w:fill="FFFFFF"/>
        <w:spacing w:before="180" w:after="180" w:line="240" w:lineRule="auto"/>
        <w:rPr>
          <w:rFonts w:eastAsia="Times New Roman" w:cstheme="minorHAnsi"/>
          <w:color w:val="222222"/>
        </w:rPr>
      </w:pPr>
      <w:r w:rsidRPr="00E418E2">
        <w:rPr>
          <w:rFonts w:eastAsia="Times New Roman" w:cstheme="minorHAnsi"/>
          <w:color w:val="222222"/>
        </w:rPr>
        <w:t>Where possible, terminate electronic sessions after a period of inactivity.</w:t>
      </w:r>
    </w:p>
    <w:p w:rsidR="0047196F" w:rsidRPr="00E418E2" w:rsidRDefault="0047196F" w:rsidP="0047196F">
      <w:pPr>
        <w:numPr>
          <w:ilvl w:val="0"/>
          <w:numId w:val="24"/>
        </w:numPr>
        <w:shd w:val="clear" w:color="auto" w:fill="FFFFFF"/>
        <w:spacing w:after="108" w:line="240" w:lineRule="auto"/>
        <w:rPr>
          <w:rFonts w:eastAsia="Times New Roman" w:cstheme="minorHAnsi"/>
          <w:color w:val="222222"/>
        </w:rPr>
      </w:pPr>
      <w:r w:rsidRPr="00E418E2">
        <w:rPr>
          <w:rFonts w:eastAsia="Times New Roman" w:cstheme="minorHAnsi"/>
          <w:color w:val="222222"/>
        </w:rPr>
        <w:t xml:space="preserve">Where session termination </w:t>
      </w:r>
      <w:r w:rsidR="008B54D0" w:rsidRPr="00E418E2">
        <w:rPr>
          <w:rFonts w:eastAsia="Times New Roman" w:cstheme="minorHAnsi"/>
          <w:color w:val="222222"/>
        </w:rPr>
        <w:t xml:space="preserve">is not possible, </w:t>
      </w:r>
      <w:r w:rsidR="008B54D0">
        <w:rPr>
          <w:rFonts w:eastAsia="Times New Roman" w:cstheme="minorHAnsi"/>
          <w:color w:val="222222"/>
        </w:rPr>
        <w:t>either from</w:t>
      </w:r>
      <w:r w:rsidRPr="00E418E2">
        <w:rPr>
          <w:rFonts w:eastAsia="Times New Roman" w:cstheme="minorHAnsi"/>
          <w:color w:val="222222"/>
        </w:rPr>
        <w:t xml:space="preserve"> </w:t>
      </w:r>
      <w:r w:rsidR="008B54D0">
        <w:rPr>
          <w:rFonts w:eastAsia="Times New Roman" w:cstheme="minorHAnsi"/>
          <w:color w:val="222222"/>
        </w:rPr>
        <w:t>a technical solution</w:t>
      </w:r>
      <w:r w:rsidRPr="00E418E2">
        <w:rPr>
          <w:rFonts w:eastAsia="Times New Roman" w:cstheme="minorHAnsi"/>
          <w:color w:val="222222"/>
        </w:rPr>
        <w:t xml:space="preserve"> or from a business process perspective, implement automatic workstation lockout as a compensating control.</w:t>
      </w:r>
    </w:p>
    <w:p w:rsidR="0047196F" w:rsidRPr="0047196F" w:rsidRDefault="0047196F" w:rsidP="0047196F">
      <w:pPr>
        <w:numPr>
          <w:ilvl w:val="0"/>
          <w:numId w:val="24"/>
        </w:numPr>
        <w:shd w:val="clear" w:color="auto" w:fill="FFFFFF"/>
        <w:spacing w:after="108" w:line="240" w:lineRule="auto"/>
        <w:rPr>
          <w:rFonts w:eastAsia="Times New Roman" w:cstheme="minorHAnsi"/>
          <w:color w:val="222222"/>
          <w:sz w:val="24"/>
          <w:szCs w:val="24"/>
        </w:rPr>
      </w:pPr>
      <w:r w:rsidRPr="00E418E2">
        <w:rPr>
          <w:rFonts w:eastAsia="Times New Roman" w:cstheme="minorHAnsi"/>
          <w:color w:val="222222"/>
        </w:rPr>
        <w:t>Maximum duration of inactivity prior to session termination or automatic workstation lockout is 10 minutes. </w:t>
      </w:r>
      <w:r w:rsidR="00845B7E">
        <w:rPr>
          <w:rFonts w:eastAsia="Times New Roman" w:cstheme="minorHAnsi"/>
          <w:i/>
          <w:iCs/>
          <w:color w:val="222222"/>
        </w:rPr>
        <w:t xml:space="preserve">Note: The </w:t>
      </w:r>
      <w:proofErr w:type="spellStart"/>
      <w:r w:rsidR="00845B7E">
        <w:rPr>
          <w:rFonts w:eastAsia="Times New Roman" w:cstheme="minorHAnsi"/>
          <w:i/>
          <w:iCs/>
          <w:color w:val="222222"/>
        </w:rPr>
        <w:t>UofL</w:t>
      </w:r>
      <w:proofErr w:type="spellEnd"/>
      <w:r w:rsidR="00845B7E">
        <w:rPr>
          <w:rFonts w:eastAsia="Times New Roman" w:cstheme="minorHAnsi"/>
          <w:i/>
          <w:iCs/>
          <w:color w:val="222222"/>
        </w:rPr>
        <w:t xml:space="preserve"> Information Security Office/Privacy Office</w:t>
      </w:r>
      <w:r w:rsidRPr="00E418E2">
        <w:rPr>
          <w:rFonts w:eastAsia="Times New Roman" w:cstheme="minorHAnsi"/>
          <w:i/>
          <w:iCs/>
          <w:color w:val="222222"/>
        </w:rPr>
        <w:t xml:space="preserve"> may consider requests for exceptions to the 10-minute requirement</w:t>
      </w:r>
      <w:r w:rsidRPr="00E20170">
        <w:rPr>
          <w:rFonts w:eastAsia="Times New Roman" w:cstheme="minorHAnsi"/>
          <w:i/>
          <w:iCs/>
          <w:color w:val="222222"/>
          <w:sz w:val="24"/>
          <w:szCs w:val="24"/>
        </w:rPr>
        <w:t>.</w:t>
      </w:r>
    </w:p>
    <w:p w:rsidR="0047196F" w:rsidRDefault="0047196F" w:rsidP="0047196F">
      <w:pPr>
        <w:shd w:val="clear" w:color="auto" w:fill="FFFFFF"/>
        <w:spacing w:after="108" w:line="240" w:lineRule="auto"/>
        <w:rPr>
          <w:rFonts w:eastAsia="Times New Roman" w:cstheme="minorHAnsi"/>
          <w:b/>
          <w:iCs/>
          <w:color w:val="222222"/>
          <w:sz w:val="28"/>
          <w:szCs w:val="28"/>
        </w:rPr>
      </w:pPr>
      <w:r>
        <w:rPr>
          <w:rFonts w:eastAsia="Times New Roman" w:cstheme="minorHAnsi"/>
          <w:b/>
          <w:iCs/>
          <w:color w:val="222222"/>
          <w:sz w:val="28"/>
          <w:szCs w:val="28"/>
        </w:rPr>
        <w:lastRenderedPageBreak/>
        <w:t>Encryption and Decryption</w:t>
      </w:r>
    </w:p>
    <w:p w:rsidR="0047196F" w:rsidRPr="0047196F" w:rsidRDefault="0047196F" w:rsidP="0047196F">
      <w:pPr>
        <w:rPr>
          <w:rFonts w:cstheme="minorHAnsi"/>
          <w:color w:val="222222"/>
          <w:shd w:val="clear" w:color="auto" w:fill="FFFFFF"/>
        </w:rPr>
      </w:pPr>
      <w:r w:rsidRPr="0047196F">
        <w:rPr>
          <w:rFonts w:cstheme="minorHAnsi"/>
          <w:color w:val="222222"/>
          <w:shd w:val="clear" w:color="auto" w:fill="FFFFFF"/>
        </w:rPr>
        <w:t>Implement</w:t>
      </w:r>
      <w:r w:rsidR="00A65448">
        <w:rPr>
          <w:rFonts w:cstheme="minorHAnsi"/>
          <w:color w:val="222222"/>
          <w:shd w:val="clear" w:color="auto" w:fill="FFFFFF"/>
        </w:rPr>
        <w:t>ation: add</w:t>
      </w:r>
      <w:r w:rsidRPr="0047196F">
        <w:rPr>
          <w:rFonts w:cstheme="minorHAnsi"/>
          <w:color w:val="222222"/>
          <w:shd w:val="clear" w:color="auto" w:fill="FFFFFF"/>
        </w:rPr>
        <w:t xml:space="preserve"> a mechanism to encrypt and decrypt electronic protected health information. 164.312(a</w:t>
      </w:r>
      <w:proofErr w:type="gramStart"/>
      <w:r w:rsidRPr="0047196F">
        <w:rPr>
          <w:rFonts w:cstheme="minorHAnsi"/>
          <w:color w:val="222222"/>
          <w:shd w:val="clear" w:color="auto" w:fill="FFFFFF"/>
        </w:rPr>
        <w:t>)(</w:t>
      </w:r>
      <w:proofErr w:type="gramEnd"/>
      <w:r w:rsidRPr="0047196F">
        <w:rPr>
          <w:rFonts w:cstheme="minorHAnsi"/>
          <w:color w:val="222222"/>
          <w:shd w:val="clear" w:color="auto" w:fill="FFFFFF"/>
        </w:rPr>
        <w:t>2)(iv)</w:t>
      </w:r>
    </w:p>
    <w:p w:rsidR="00845B7E" w:rsidRPr="00845B7E" w:rsidRDefault="0047196F" w:rsidP="00845B7E">
      <w:pPr>
        <w:rPr>
          <w:rFonts w:cstheme="minorHAnsi"/>
        </w:rPr>
      </w:pPr>
      <w:r w:rsidRPr="00845B7E">
        <w:rPr>
          <w:rFonts w:cstheme="minorHAnsi"/>
          <w:b/>
          <w:bCs/>
        </w:rPr>
        <w:t>Note: </w:t>
      </w:r>
      <w:r w:rsidR="00845B7E" w:rsidRPr="00845B7E">
        <w:rPr>
          <w:rFonts w:cstheme="minorHAnsi"/>
        </w:rPr>
        <w:t xml:space="preserve">the scope of this implementation specification to include stored </w:t>
      </w:r>
      <w:proofErr w:type="spellStart"/>
      <w:r w:rsidR="00845B7E" w:rsidRPr="00845B7E">
        <w:rPr>
          <w:rFonts w:cstheme="minorHAnsi"/>
        </w:rPr>
        <w:t>ePHI</w:t>
      </w:r>
      <w:proofErr w:type="spellEnd"/>
      <w:r w:rsidR="00845B7E" w:rsidRPr="00845B7E">
        <w:rPr>
          <w:rFonts w:cstheme="minorHAnsi"/>
        </w:rPr>
        <w:t>. See 164.312(e</w:t>
      </w:r>
      <w:proofErr w:type="gramStart"/>
      <w:r w:rsidR="00845B7E" w:rsidRPr="00845B7E">
        <w:rPr>
          <w:rFonts w:cstheme="minorHAnsi"/>
        </w:rPr>
        <w:t>)(</w:t>
      </w:r>
      <w:proofErr w:type="gramEnd"/>
      <w:r w:rsidR="00845B7E" w:rsidRPr="00845B7E">
        <w:rPr>
          <w:rFonts w:cstheme="minorHAnsi"/>
        </w:rPr>
        <w:t xml:space="preserve">2)(ii) – Encryption, below, for transmission of </w:t>
      </w:r>
      <w:proofErr w:type="spellStart"/>
      <w:r w:rsidR="00845B7E" w:rsidRPr="00845B7E">
        <w:rPr>
          <w:rFonts w:cstheme="minorHAnsi"/>
        </w:rPr>
        <w:t>ePHI</w:t>
      </w:r>
      <w:proofErr w:type="spellEnd"/>
      <w:r w:rsidR="00845B7E" w:rsidRPr="00845B7E">
        <w:rPr>
          <w:rFonts w:cstheme="minorHAnsi"/>
        </w:rPr>
        <w:t>.</w:t>
      </w:r>
    </w:p>
    <w:p w:rsidR="0047196F" w:rsidRPr="00845B7E" w:rsidRDefault="00845B7E" w:rsidP="00845B7E">
      <w:pPr>
        <w:pStyle w:val="ListParagraph"/>
        <w:numPr>
          <w:ilvl w:val="0"/>
          <w:numId w:val="34"/>
        </w:numPr>
        <w:ind w:left="720" w:hanging="360"/>
        <w:rPr>
          <w:rFonts w:cstheme="minorHAnsi"/>
        </w:rPr>
      </w:pPr>
      <w:r w:rsidRPr="00845B7E">
        <w:rPr>
          <w:rFonts w:cstheme="minorHAnsi"/>
        </w:rPr>
        <w:t xml:space="preserve">Implement appropriate security measures, such as encryption, to protect </w:t>
      </w:r>
      <w:proofErr w:type="spellStart"/>
      <w:r w:rsidRPr="00845B7E">
        <w:rPr>
          <w:rFonts w:cstheme="minorHAnsi"/>
        </w:rPr>
        <w:t>ePHI</w:t>
      </w:r>
      <w:proofErr w:type="spellEnd"/>
      <w:r w:rsidRPr="00845B7E">
        <w:rPr>
          <w:rFonts w:cstheme="minorHAnsi"/>
        </w:rPr>
        <w:t xml:space="preserve"> from unauthorized access.</w:t>
      </w:r>
    </w:p>
    <w:p w:rsidR="0047196F" w:rsidRPr="0047196F" w:rsidRDefault="0047196F" w:rsidP="00845B7E">
      <w:pPr>
        <w:pStyle w:val="ListParagraph"/>
        <w:numPr>
          <w:ilvl w:val="0"/>
          <w:numId w:val="33"/>
        </w:numPr>
        <w:rPr>
          <w:rFonts w:cstheme="minorHAnsi"/>
        </w:rPr>
      </w:pPr>
      <w:r w:rsidRPr="0047196F">
        <w:rPr>
          <w:rFonts w:cstheme="minorHAnsi"/>
        </w:rPr>
        <w:t xml:space="preserve">Implement appropriate security measures, such as encryption, to protect </w:t>
      </w:r>
      <w:proofErr w:type="spellStart"/>
      <w:r w:rsidRPr="0047196F">
        <w:rPr>
          <w:rFonts w:cstheme="minorHAnsi"/>
        </w:rPr>
        <w:t>ePHI</w:t>
      </w:r>
      <w:proofErr w:type="spellEnd"/>
      <w:r w:rsidRPr="0047196F">
        <w:rPr>
          <w:rFonts w:cstheme="minorHAnsi"/>
        </w:rPr>
        <w:t xml:space="preserve"> from unauthorized access.</w:t>
      </w:r>
    </w:p>
    <w:p w:rsidR="0047196F" w:rsidRPr="0047196F" w:rsidRDefault="0047196F" w:rsidP="00845B7E">
      <w:pPr>
        <w:pStyle w:val="ListParagraph"/>
        <w:numPr>
          <w:ilvl w:val="1"/>
          <w:numId w:val="33"/>
        </w:numPr>
        <w:rPr>
          <w:rFonts w:cstheme="minorHAnsi"/>
        </w:rPr>
      </w:pPr>
      <w:r w:rsidRPr="0047196F">
        <w:rPr>
          <w:rFonts w:cstheme="minorHAnsi"/>
        </w:rPr>
        <w:t xml:space="preserve">Unencrypted </w:t>
      </w:r>
      <w:proofErr w:type="spellStart"/>
      <w:r w:rsidRPr="0047196F">
        <w:rPr>
          <w:rFonts w:cstheme="minorHAnsi"/>
        </w:rPr>
        <w:t>ePHI</w:t>
      </w:r>
      <w:proofErr w:type="spellEnd"/>
      <w:r w:rsidRPr="0047196F">
        <w:rPr>
          <w:rFonts w:cstheme="minorHAnsi"/>
        </w:rPr>
        <w:t xml:space="preserve"> will not be stored on portable electronic devices, including laptops (see </w:t>
      </w:r>
      <w:hyperlink r:id="rId6" w:anchor="310b" w:history="1">
        <w:r w:rsidRPr="0047196F">
          <w:rPr>
            <w:rStyle w:val="Hyperlink"/>
            <w:rFonts w:cstheme="minorHAnsi"/>
            <w:i/>
            <w:iCs/>
          </w:rPr>
          <w:t>§164.310(b) - Workstation use</w:t>
        </w:r>
      </w:hyperlink>
      <w:r w:rsidRPr="0047196F">
        <w:rPr>
          <w:rFonts w:cstheme="minorHAnsi"/>
        </w:rPr>
        <w:t> and </w:t>
      </w:r>
      <w:hyperlink r:id="rId7" w:anchor="310c" w:history="1">
        <w:r w:rsidRPr="0047196F">
          <w:rPr>
            <w:rStyle w:val="Hyperlink"/>
            <w:rFonts w:cstheme="minorHAnsi"/>
            <w:i/>
            <w:iCs/>
          </w:rPr>
          <w:t>§164.310(c) - Workstation security</w:t>
        </w:r>
      </w:hyperlink>
      <w:r w:rsidRPr="0047196F">
        <w:rPr>
          <w:rFonts w:cstheme="minorHAnsi"/>
        </w:rPr>
        <w:t>).</w:t>
      </w:r>
    </w:p>
    <w:p w:rsidR="0047196F" w:rsidRPr="00845B7E" w:rsidRDefault="0047196F" w:rsidP="00845B7E">
      <w:pPr>
        <w:pStyle w:val="ListParagraph"/>
        <w:numPr>
          <w:ilvl w:val="0"/>
          <w:numId w:val="33"/>
        </w:numPr>
        <w:rPr>
          <w:rFonts w:cstheme="minorHAnsi"/>
        </w:rPr>
      </w:pPr>
      <w:r w:rsidRPr="00845B7E">
        <w:rPr>
          <w:rFonts w:cstheme="minorHAnsi"/>
        </w:rPr>
        <w:t>In situations where encryption is problematic, the alternative compensating controls below must be implemented</w:t>
      </w:r>
      <w:r w:rsidRPr="00845B7E">
        <w:rPr>
          <w:rFonts w:cstheme="minorHAnsi"/>
          <w:b/>
          <w:bCs/>
        </w:rPr>
        <w:t> </w:t>
      </w:r>
      <w:r w:rsidRPr="00845B7E">
        <w:rPr>
          <w:rFonts w:cstheme="minorHAnsi"/>
        </w:rPr>
        <w:t>as appropriat</w:t>
      </w:r>
      <w:r w:rsidR="00845B7E" w:rsidRPr="00845B7E">
        <w:rPr>
          <w:rFonts w:cstheme="minorHAnsi"/>
        </w:rPr>
        <w:t xml:space="preserve">e, in consultation with the </w:t>
      </w:r>
      <w:proofErr w:type="spellStart"/>
      <w:r w:rsidR="00845B7E" w:rsidRPr="00845B7E">
        <w:rPr>
          <w:rFonts w:cstheme="minorHAnsi"/>
        </w:rPr>
        <w:t>UofL</w:t>
      </w:r>
      <w:proofErr w:type="spellEnd"/>
      <w:r w:rsidR="00845B7E" w:rsidRPr="00845B7E">
        <w:rPr>
          <w:rFonts w:cstheme="minorHAnsi"/>
        </w:rPr>
        <w:t xml:space="preserve"> IT</w:t>
      </w:r>
      <w:r w:rsidRPr="00845B7E">
        <w:rPr>
          <w:rFonts w:cstheme="minorHAnsi"/>
        </w:rPr>
        <w:t xml:space="preserve"> </w:t>
      </w:r>
      <w:r w:rsidR="00845B7E" w:rsidRPr="00845B7E">
        <w:rPr>
          <w:rFonts w:cstheme="minorHAnsi"/>
        </w:rPr>
        <w:t xml:space="preserve">Enterprise </w:t>
      </w:r>
      <w:r w:rsidRPr="00845B7E">
        <w:rPr>
          <w:rFonts w:cstheme="minorHAnsi"/>
        </w:rPr>
        <w:t>Security</w:t>
      </w:r>
      <w:r w:rsidR="00845B7E" w:rsidRPr="00845B7E">
        <w:rPr>
          <w:rFonts w:cstheme="minorHAnsi"/>
        </w:rPr>
        <w:t xml:space="preserve"> Team</w:t>
      </w:r>
      <w:r w:rsidRPr="00845B7E">
        <w:rPr>
          <w:rFonts w:cstheme="minorHAnsi"/>
        </w:rPr>
        <w:t>.</w:t>
      </w:r>
    </w:p>
    <w:p w:rsidR="0047196F" w:rsidRPr="0047196F" w:rsidRDefault="0047196F" w:rsidP="00845B7E">
      <w:pPr>
        <w:pStyle w:val="ListParagraph"/>
        <w:numPr>
          <w:ilvl w:val="1"/>
          <w:numId w:val="33"/>
        </w:numPr>
        <w:rPr>
          <w:rFonts w:cstheme="minorHAnsi"/>
        </w:rPr>
      </w:pPr>
      <w:r w:rsidRPr="0047196F">
        <w:rPr>
          <w:rFonts w:cstheme="minorHAnsi"/>
        </w:rPr>
        <w:t>An explanation must be provided for why encryption is not being implemented.</w:t>
      </w:r>
    </w:p>
    <w:p w:rsidR="0047196F" w:rsidRPr="0047196F" w:rsidRDefault="0047196F" w:rsidP="0047196F">
      <w:pPr>
        <w:pStyle w:val="NormalWeb"/>
        <w:shd w:val="clear" w:color="auto" w:fill="FFFFFF"/>
        <w:spacing w:before="180" w:beforeAutospacing="0" w:after="180" w:afterAutospacing="0"/>
        <w:rPr>
          <w:rFonts w:asciiTheme="minorHAnsi" w:hAnsiTheme="minorHAnsi" w:cstheme="minorHAnsi"/>
          <w:color w:val="222222"/>
          <w:sz w:val="22"/>
          <w:szCs w:val="22"/>
        </w:rPr>
      </w:pPr>
      <w:r w:rsidRPr="0047196F">
        <w:rPr>
          <w:rStyle w:val="Strong"/>
          <w:rFonts w:asciiTheme="minorHAnsi" w:hAnsiTheme="minorHAnsi" w:cstheme="minorHAnsi"/>
          <w:i/>
          <w:iCs/>
          <w:color w:val="222222"/>
          <w:sz w:val="22"/>
          <w:szCs w:val="22"/>
        </w:rPr>
        <w:t xml:space="preserve">Alternative, reasonable and appropriate compensating controls if encryption is not in place for stored </w:t>
      </w:r>
      <w:proofErr w:type="spellStart"/>
      <w:r w:rsidRPr="0047196F">
        <w:rPr>
          <w:rStyle w:val="Strong"/>
          <w:rFonts w:asciiTheme="minorHAnsi" w:hAnsiTheme="minorHAnsi" w:cstheme="minorHAnsi"/>
          <w:i/>
          <w:iCs/>
          <w:color w:val="222222"/>
          <w:sz w:val="22"/>
          <w:szCs w:val="22"/>
        </w:rPr>
        <w:t>ePHI</w:t>
      </w:r>
      <w:proofErr w:type="spellEnd"/>
      <w:r w:rsidRPr="0047196F">
        <w:rPr>
          <w:rStyle w:val="Strong"/>
          <w:rFonts w:asciiTheme="minorHAnsi" w:hAnsiTheme="minorHAnsi" w:cstheme="minorHAnsi"/>
          <w:i/>
          <w:iCs/>
          <w:color w:val="222222"/>
          <w:sz w:val="22"/>
          <w:szCs w:val="22"/>
        </w:rPr>
        <w:t>:</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Access controls, including unique user ID &amp; password authentication, and user profiles (SHS only)</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Hardening of systems (see </w:t>
      </w:r>
      <w:hyperlink r:id="rId8" w:anchor="308a5iib" w:history="1">
        <w:r w:rsidRPr="0047196F">
          <w:rPr>
            <w:rStyle w:val="Hyperlink"/>
            <w:rFonts w:cstheme="minorHAnsi"/>
            <w:i/>
            <w:iCs/>
            <w:color w:val="006AAD"/>
          </w:rPr>
          <w:t>§164.308(a)(5)(ii)(B) - Protection from malicious software</w:t>
        </w:r>
      </w:hyperlink>
      <w:r w:rsidRPr="0047196F">
        <w:rPr>
          <w:rFonts w:cstheme="minorHAnsi"/>
          <w:color w:val="222222"/>
        </w:rPr>
        <w:t> for details)</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 xml:space="preserve">Physical security for access to facilities and workstations that contain or access </w:t>
      </w:r>
      <w:proofErr w:type="spellStart"/>
      <w:r w:rsidRPr="0047196F">
        <w:rPr>
          <w:rFonts w:cstheme="minorHAnsi"/>
          <w:color w:val="222222"/>
        </w:rPr>
        <w:t>ePHI</w:t>
      </w:r>
      <w:proofErr w:type="spellEnd"/>
      <w:r w:rsidRPr="0047196F">
        <w:rPr>
          <w:rFonts w:cstheme="minorHAnsi"/>
          <w:color w:val="222222"/>
        </w:rPr>
        <w:t>, including appropriate device and media controls</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Technically enforce complex passwords where possible</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Enable system security auditing/logging, including monitoring of audit reports/logs</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Correct configuration of applications to use secure protocols</w:t>
      </w:r>
    </w:p>
    <w:p w:rsidR="0047196F" w:rsidRPr="00CF6F49" w:rsidRDefault="0047196F" w:rsidP="0047196F">
      <w:pPr>
        <w:numPr>
          <w:ilvl w:val="0"/>
          <w:numId w:val="32"/>
        </w:numPr>
        <w:shd w:val="clear" w:color="auto" w:fill="FFFFFF"/>
        <w:spacing w:after="108" w:line="240" w:lineRule="auto"/>
        <w:rPr>
          <w:rFonts w:cstheme="minorHAnsi"/>
          <w:color w:val="222222"/>
          <w:highlight w:val="yellow"/>
        </w:rPr>
      </w:pPr>
      <w:r w:rsidRPr="00CF6F49">
        <w:rPr>
          <w:rFonts w:cstheme="minorHAnsi"/>
          <w:color w:val="222222"/>
          <w:highlight w:val="yellow"/>
        </w:rPr>
        <w:t>Implement automatic logoff and/or screen lock (see </w:t>
      </w:r>
      <w:hyperlink r:id="rId9" w:anchor="312a2iii" w:history="1">
        <w:r w:rsidRPr="00CF6F49">
          <w:rPr>
            <w:rStyle w:val="Hyperlink"/>
            <w:rFonts w:cstheme="minorHAnsi"/>
            <w:i/>
            <w:iCs/>
            <w:color w:val="006AAD"/>
            <w:highlight w:val="yellow"/>
          </w:rPr>
          <w:t>§164.312(a)(2)(iii) - Automatic logoff</w:t>
        </w:r>
      </w:hyperlink>
      <w:r w:rsidRPr="00CF6F49">
        <w:rPr>
          <w:rFonts w:cstheme="minorHAnsi"/>
          <w:color w:val="222222"/>
          <w:highlight w:val="yellow"/>
        </w:rPr>
        <w:t> for details)</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Ensure secure remote access</w:t>
      </w:r>
    </w:p>
    <w:p w:rsidR="0047196F" w:rsidRPr="0047196F" w:rsidRDefault="0047196F" w:rsidP="0047196F">
      <w:pPr>
        <w:numPr>
          <w:ilvl w:val="0"/>
          <w:numId w:val="32"/>
        </w:numPr>
        <w:shd w:val="clear" w:color="auto" w:fill="FFFFFF"/>
        <w:spacing w:after="108" w:line="240" w:lineRule="auto"/>
        <w:rPr>
          <w:rFonts w:cstheme="minorHAnsi"/>
          <w:color w:val="222222"/>
        </w:rPr>
      </w:pPr>
      <w:r w:rsidRPr="0047196F">
        <w:rPr>
          <w:rFonts w:cstheme="minorHAnsi"/>
          <w:color w:val="222222"/>
        </w:rPr>
        <w:t>Implement correctly configured firewalls (hardware and/or software)</w:t>
      </w:r>
    </w:p>
    <w:p w:rsidR="0047196F" w:rsidRPr="0047196F" w:rsidRDefault="0047196F" w:rsidP="0047196F">
      <w:pPr>
        <w:shd w:val="clear" w:color="auto" w:fill="FFFFFF"/>
        <w:spacing w:after="108" w:line="240" w:lineRule="auto"/>
        <w:rPr>
          <w:rFonts w:eastAsia="Times New Roman" w:cstheme="minorHAnsi"/>
          <w:color w:val="222222"/>
          <w:sz w:val="24"/>
          <w:szCs w:val="24"/>
        </w:rPr>
      </w:pPr>
    </w:p>
    <w:p w:rsidR="0047196F" w:rsidRPr="0047196F" w:rsidRDefault="0047196F" w:rsidP="0047196F">
      <w:pPr>
        <w:rPr>
          <w:b/>
          <w:sz w:val="28"/>
          <w:szCs w:val="28"/>
        </w:rPr>
      </w:pPr>
    </w:p>
    <w:p w:rsidR="00B84ACC" w:rsidRPr="00B84ACC" w:rsidRDefault="00B84ACC" w:rsidP="001F72B2">
      <w:pPr>
        <w:rPr>
          <w:b/>
          <w:sz w:val="28"/>
          <w:szCs w:val="28"/>
        </w:rPr>
      </w:pPr>
    </w:p>
    <w:sectPr w:rsidR="00B84ACC" w:rsidRPr="00B84ACC" w:rsidSect="00FE7218">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531"/>
    <w:multiLevelType w:val="hybridMultilevel"/>
    <w:tmpl w:val="59A45F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D151C"/>
    <w:multiLevelType w:val="hybridMultilevel"/>
    <w:tmpl w:val="27FC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96B72"/>
    <w:multiLevelType w:val="hybridMultilevel"/>
    <w:tmpl w:val="7A04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319FF"/>
    <w:multiLevelType w:val="multilevel"/>
    <w:tmpl w:val="2562AA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C7459"/>
    <w:multiLevelType w:val="multilevel"/>
    <w:tmpl w:val="AA5874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F0989"/>
    <w:multiLevelType w:val="multilevel"/>
    <w:tmpl w:val="EEF27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11BAB"/>
    <w:multiLevelType w:val="hybridMultilevel"/>
    <w:tmpl w:val="4B9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94E93"/>
    <w:multiLevelType w:val="multilevel"/>
    <w:tmpl w:val="5074C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A2E2C"/>
    <w:multiLevelType w:val="multilevel"/>
    <w:tmpl w:val="02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3666C"/>
    <w:multiLevelType w:val="multilevel"/>
    <w:tmpl w:val="F022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202FD"/>
    <w:multiLevelType w:val="multilevel"/>
    <w:tmpl w:val="AD703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11D84"/>
    <w:multiLevelType w:val="multilevel"/>
    <w:tmpl w:val="F0220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46F08"/>
    <w:multiLevelType w:val="hybridMultilevel"/>
    <w:tmpl w:val="980A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13A3C"/>
    <w:multiLevelType w:val="hybridMultilevel"/>
    <w:tmpl w:val="87F4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B0322"/>
    <w:multiLevelType w:val="hybridMultilevel"/>
    <w:tmpl w:val="9050C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5EF3"/>
    <w:multiLevelType w:val="multilevel"/>
    <w:tmpl w:val="CC6A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22861"/>
    <w:multiLevelType w:val="hybridMultilevel"/>
    <w:tmpl w:val="A878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94B23"/>
    <w:multiLevelType w:val="multilevel"/>
    <w:tmpl w:val="8EA49F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E00E3"/>
    <w:multiLevelType w:val="hybridMultilevel"/>
    <w:tmpl w:val="80F6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7619F"/>
    <w:multiLevelType w:val="hybridMultilevel"/>
    <w:tmpl w:val="181E98E0"/>
    <w:lvl w:ilvl="0" w:tplc="B8FC525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05A9C"/>
    <w:multiLevelType w:val="hybridMultilevel"/>
    <w:tmpl w:val="CB6EF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70023"/>
    <w:multiLevelType w:val="multilevel"/>
    <w:tmpl w:val="F5485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35B48"/>
    <w:multiLevelType w:val="multilevel"/>
    <w:tmpl w:val="31E8E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7E2D6D"/>
    <w:multiLevelType w:val="hybridMultilevel"/>
    <w:tmpl w:val="F4F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A6293"/>
    <w:multiLevelType w:val="hybridMultilevel"/>
    <w:tmpl w:val="D6E6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066B3"/>
    <w:multiLevelType w:val="hybridMultilevel"/>
    <w:tmpl w:val="4DE6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710B4"/>
    <w:multiLevelType w:val="multilevel"/>
    <w:tmpl w:val="FFA87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F4B57"/>
    <w:multiLevelType w:val="hybridMultilevel"/>
    <w:tmpl w:val="0D6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66DFA"/>
    <w:multiLevelType w:val="hybridMultilevel"/>
    <w:tmpl w:val="D276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4141F"/>
    <w:multiLevelType w:val="hybridMultilevel"/>
    <w:tmpl w:val="227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0B40E3"/>
    <w:multiLevelType w:val="hybridMultilevel"/>
    <w:tmpl w:val="EECE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17438"/>
    <w:multiLevelType w:val="hybridMultilevel"/>
    <w:tmpl w:val="B5061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F1FB5"/>
    <w:multiLevelType w:val="hybridMultilevel"/>
    <w:tmpl w:val="567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2B15D5"/>
    <w:multiLevelType w:val="multilevel"/>
    <w:tmpl w:val="9BB86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7"/>
  </w:num>
  <w:num w:numId="3">
    <w:abstractNumId w:val="29"/>
  </w:num>
  <w:num w:numId="4">
    <w:abstractNumId w:val="24"/>
  </w:num>
  <w:num w:numId="5">
    <w:abstractNumId w:val="18"/>
  </w:num>
  <w:num w:numId="6">
    <w:abstractNumId w:val="30"/>
  </w:num>
  <w:num w:numId="7">
    <w:abstractNumId w:val="1"/>
  </w:num>
  <w:num w:numId="8">
    <w:abstractNumId w:val="14"/>
  </w:num>
  <w:num w:numId="9">
    <w:abstractNumId w:val="23"/>
  </w:num>
  <w:num w:numId="10">
    <w:abstractNumId w:val="16"/>
  </w:num>
  <w:num w:numId="11">
    <w:abstractNumId w:val="0"/>
  </w:num>
  <w:num w:numId="12">
    <w:abstractNumId w:val="6"/>
  </w:num>
  <w:num w:numId="13">
    <w:abstractNumId w:val="2"/>
  </w:num>
  <w:num w:numId="14">
    <w:abstractNumId w:val="12"/>
  </w:num>
  <w:num w:numId="15">
    <w:abstractNumId w:val="28"/>
  </w:num>
  <w:num w:numId="16">
    <w:abstractNumId w:val="25"/>
  </w:num>
  <w:num w:numId="17">
    <w:abstractNumId w:val="22"/>
  </w:num>
  <w:num w:numId="18">
    <w:abstractNumId w:val="13"/>
  </w:num>
  <w:num w:numId="19">
    <w:abstractNumId w:val="5"/>
  </w:num>
  <w:num w:numId="20">
    <w:abstractNumId w:val="21"/>
  </w:num>
  <w:num w:numId="21">
    <w:abstractNumId w:val="17"/>
  </w:num>
  <w:num w:numId="22">
    <w:abstractNumId w:val="4"/>
  </w:num>
  <w:num w:numId="23">
    <w:abstractNumId w:val="3"/>
  </w:num>
  <w:num w:numId="24">
    <w:abstractNumId w:val="15"/>
  </w:num>
  <w:num w:numId="25">
    <w:abstractNumId w:val="31"/>
  </w:num>
  <w:num w:numId="26">
    <w:abstractNumId w:val="9"/>
  </w:num>
  <w:num w:numId="27">
    <w:abstractNumId w:val="10"/>
  </w:num>
  <w:num w:numId="28">
    <w:abstractNumId w:val="7"/>
  </w:num>
  <w:num w:numId="29">
    <w:abstractNumId w:val="11"/>
  </w:num>
  <w:num w:numId="30">
    <w:abstractNumId w:val="33"/>
  </w:num>
  <w:num w:numId="31">
    <w:abstractNumId w:val="26"/>
  </w:num>
  <w:num w:numId="32">
    <w:abstractNumId w:val="8"/>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97"/>
    <w:rsid w:val="00136933"/>
    <w:rsid w:val="001A5849"/>
    <w:rsid w:val="001F72B2"/>
    <w:rsid w:val="00224CB2"/>
    <w:rsid w:val="00247441"/>
    <w:rsid w:val="00252106"/>
    <w:rsid w:val="00267711"/>
    <w:rsid w:val="00274697"/>
    <w:rsid w:val="002F7EFB"/>
    <w:rsid w:val="003E60F6"/>
    <w:rsid w:val="00464044"/>
    <w:rsid w:val="0047196F"/>
    <w:rsid w:val="004C71B3"/>
    <w:rsid w:val="005502A8"/>
    <w:rsid w:val="00575CD4"/>
    <w:rsid w:val="005C2290"/>
    <w:rsid w:val="006743FE"/>
    <w:rsid w:val="007A7169"/>
    <w:rsid w:val="007C4CF3"/>
    <w:rsid w:val="00845B7E"/>
    <w:rsid w:val="008707B9"/>
    <w:rsid w:val="008A1BB5"/>
    <w:rsid w:val="008B54D0"/>
    <w:rsid w:val="008B55DB"/>
    <w:rsid w:val="008C2855"/>
    <w:rsid w:val="008C4F24"/>
    <w:rsid w:val="008C7963"/>
    <w:rsid w:val="00907839"/>
    <w:rsid w:val="00A332ED"/>
    <w:rsid w:val="00A36DA5"/>
    <w:rsid w:val="00A65448"/>
    <w:rsid w:val="00AB565D"/>
    <w:rsid w:val="00B005AC"/>
    <w:rsid w:val="00B22D99"/>
    <w:rsid w:val="00B72A67"/>
    <w:rsid w:val="00B84ACC"/>
    <w:rsid w:val="00BD3437"/>
    <w:rsid w:val="00BD5C26"/>
    <w:rsid w:val="00C36775"/>
    <w:rsid w:val="00C44C3F"/>
    <w:rsid w:val="00C81D84"/>
    <w:rsid w:val="00CE62CD"/>
    <w:rsid w:val="00CF6F49"/>
    <w:rsid w:val="00D270B9"/>
    <w:rsid w:val="00D27957"/>
    <w:rsid w:val="00D56BC4"/>
    <w:rsid w:val="00D7234F"/>
    <w:rsid w:val="00DB2621"/>
    <w:rsid w:val="00E01445"/>
    <w:rsid w:val="00E418E2"/>
    <w:rsid w:val="00F93C71"/>
    <w:rsid w:val="00FE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59FD"/>
  <w15:chartTrackingRefBased/>
  <w15:docId w15:val="{DAA45DA9-D014-4E33-8C1E-11C710BE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C26"/>
    <w:pPr>
      <w:spacing w:after="0" w:line="240" w:lineRule="auto"/>
    </w:pPr>
  </w:style>
  <w:style w:type="paragraph" w:styleId="ListParagraph">
    <w:name w:val="List Paragraph"/>
    <w:basedOn w:val="Normal"/>
    <w:uiPriority w:val="34"/>
    <w:qFormat/>
    <w:rsid w:val="00BD5C26"/>
    <w:pPr>
      <w:ind w:left="720"/>
      <w:contextualSpacing/>
    </w:pPr>
  </w:style>
  <w:style w:type="character" w:styleId="Hyperlink">
    <w:name w:val="Hyperlink"/>
    <w:basedOn w:val="DefaultParagraphFont"/>
    <w:uiPriority w:val="99"/>
    <w:unhideWhenUsed/>
    <w:rsid w:val="002F7EFB"/>
    <w:rPr>
      <w:color w:val="0563C1" w:themeColor="hyperlink"/>
      <w:u w:val="single"/>
    </w:rPr>
  </w:style>
  <w:style w:type="paragraph" w:styleId="NormalWeb">
    <w:name w:val="Normal (Web)"/>
    <w:basedOn w:val="Normal"/>
    <w:uiPriority w:val="99"/>
    <w:semiHidden/>
    <w:unhideWhenUsed/>
    <w:rsid w:val="004719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2549">
      <w:bodyDiv w:val="1"/>
      <w:marLeft w:val="0"/>
      <w:marRight w:val="0"/>
      <w:marTop w:val="0"/>
      <w:marBottom w:val="0"/>
      <w:divBdr>
        <w:top w:val="none" w:sz="0" w:space="0" w:color="auto"/>
        <w:left w:val="none" w:sz="0" w:space="0" w:color="auto"/>
        <w:bottom w:val="none" w:sz="0" w:space="0" w:color="auto"/>
        <w:right w:val="none" w:sz="0" w:space="0" w:color="auto"/>
      </w:divBdr>
    </w:div>
    <w:div w:id="383334106">
      <w:bodyDiv w:val="1"/>
      <w:marLeft w:val="0"/>
      <w:marRight w:val="0"/>
      <w:marTop w:val="0"/>
      <w:marBottom w:val="0"/>
      <w:divBdr>
        <w:top w:val="none" w:sz="0" w:space="0" w:color="auto"/>
        <w:left w:val="none" w:sz="0" w:space="0" w:color="auto"/>
        <w:bottom w:val="none" w:sz="0" w:space="0" w:color="auto"/>
        <w:right w:val="none" w:sz="0" w:space="0" w:color="auto"/>
      </w:divBdr>
    </w:div>
    <w:div w:id="692417979">
      <w:bodyDiv w:val="1"/>
      <w:marLeft w:val="0"/>
      <w:marRight w:val="0"/>
      <w:marTop w:val="0"/>
      <w:marBottom w:val="0"/>
      <w:divBdr>
        <w:top w:val="none" w:sz="0" w:space="0" w:color="auto"/>
        <w:left w:val="none" w:sz="0" w:space="0" w:color="auto"/>
        <w:bottom w:val="none" w:sz="0" w:space="0" w:color="auto"/>
        <w:right w:val="none" w:sz="0" w:space="0" w:color="auto"/>
      </w:divBdr>
    </w:div>
    <w:div w:id="975067661">
      <w:bodyDiv w:val="1"/>
      <w:marLeft w:val="0"/>
      <w:marRight w:val="0"/>
      <w:marTop w:val="0"/>
      <w:marBottom w:val="0"/>
      <w:divBdr>
        <w:top w:val="none" w:sz="0" w:space="0" w:color="auto"/>
        <w:left w:val="none" w:sz="0" w:space="0" w:color="auto"/>
        <w:bottom w:val="none" w:sz="0" w:space="0" w:color="auto"/>
        <w:right w:val="none" w:sz="0" w:space="0" w:color="auto"/>
      </w:divBdr>
    </w:div>
    <w:div w:id="1090203043">
      <w:bodyDiv w:val="1"/>
      <w:marLeft w:val="0"/>
      <w:marRight w:val="0"/>
      <w:marTop w:val="0"/>
      <w:marBottom w:val="0"/>
      <w:divBdr>
        <w:top w:val="none" w:sz="0" w:space="0" w:color="auto"/>
        <w:left w:val="none" w:sz="0" w:space="0" w:color="auto"/>
        <w:bottom w:val="none" w:sz="0" w:space="0" w:color="auto"/>
        <w:right w:val="none" w:sz="0" w:space="0" w:color="auto"/>
      </w:divBdr>
    </w:div>
    <w:div w:id="1131749028">
      <w:bodyDiv w:val="1"/>
      <w:marLeft w:val="0"/>
      <w:marRight w:val="0"/>
      <w:marTop w:val="0"/>
      <w:marBottom w:val="0"/>
      <w:divBdr>
        <w:top w:val="none" w:sz="0" w:space="0" w:color="auto"/>
        <w:left w:val="none" w:sz="0" w:space="0" w:color="auto"/>
        <w:bottom w:val="none" w:sz="0" w:space="0" w:color="auto"/>
        <w:right w:val="none" w:sz="0" w:space="0" w:color="auto"/>
      </w:divBdr>
    </w:div>
    <w:div w:id="1866794465">
      <w:bodyDiv w:val="1"/>
      <w:marLeft w:val="0"/>
      <w:marRight w:val="0"/>
      <w:marTop w:val="0"/>
      <w:marBottom w:val="0"/>
      <w:divBdr>
        <w:top w:val="none" w:sz="0" w:space="0" w:color="auto"/>
        <w:left w:val="none" w:sz="0" w:space="0" w:color="auto"/>
        <w:bottom w:val="none" w:sz="0" w:space="0" w:color="auto"/>
        <w:right w:val="none" w:sz="0" w:space="0" w:color="auto"/>
      </w:divBdr>
    </w:div>
    <w:div w:id="1877499492">
      <w:bodyDiv w:val="1"/>
      <w:marLeft w:val="0"/>
      <w:marRight w:val="0"/>
      <w:marTop w:val="0"/>
      <w:marBottom w:val="0"/>
      <w:divBdr>
        <w:top w:val="none" w:sz="0" w:space="0" w:color="auto"/>
        <w:left w:val="none" w:sz="0" w:space="0" w:color="auto"/>
        <w:bottom w:val="none" w:sz="0" w:space="0" w:color="auto"/>
        <w:right w:val="none" w:sz="0" w:space="0" w:color="auto"/>
      </w:divBdr>
    </w:div>
    <w:div w:id="21251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ucsc.edu/policies/hipaa-practices.html" TargetMode="External"/><Relationship Id="rId3" Type="http://schemas.openxmlformats.org/officeDocument/2006/relationships/settings" Target="settings.xml"/><Relationship Id="rId7" Type="http://schemas.openxmlformats.org/officeDocument/2006/relationships/hyperlink" Target="https://its.ucsc.edu/policies/hipaa-pract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s.ucsc.edu/policies/hipaa-practices.html" TargetMode="External"/><Relationship Id="rId11" Type="http://schemas.openxmlformats.org/officeDocument/2006/relationships/theme" Target="theme/theme1.xml"/><Relationship Id="rId5" Type="http://schemas.openxmlformats.org/officeDocument/2006/relationships/hyperlink" Target="https://its.ucsc.edu/policies/hipaa-practice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ucsc.edu/policies/hipaa-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3928</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Cooper,Lisa L</dc:creator>
  <cp:keywords/>
  <dc:description/>
  <cp:lastModifiedBy>Cooper,Lisa L</cp:lastModifiedBy>
  <cp:revision>9</cp:revision>
  <dcterms:created xsi:type="dcterms:W3CDTF">2019-05-21T12:28:00Z</dcterms:created>
  <dcterms:modified xsi:type="dcterms:W3CDTF">2019-07-25T15:52:00Z</dcterms:modified>
</cp:coreProperties>
</file>