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C26" w:rsidRPr="00BC072D" w:rsidRDefault="00D27957" w:rsidP="00BD5C26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PS – D (1</w:t>
      </w:r>
      <w:r w:rsidR="004E00B2">
        <w:rPr>
          <w:b/>
          <w:sz w:val="36"/>
          <w:szCs w:val="36"/>
        </w:rPr>
        <w:t xml:space="preserve"> &amp; 2</w:t>
      </w:r>
      <w:r>
        <w:rPr>
          <w:b/>
          <w:sz w:val="36"/>
          <w:szCs w:val="36"/>
        </w:rPr>
        <w:t>)</w:t>
      </w:r>
      <w:r w:rsidR="00DB262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Device and Media Controls</w:t>
      </w:r>
    </w:p>
    <w:p w:rsidR="00BD5C26" w:rsidRDefault="00BD5C26" w:rsidP="00BD5C26"/>
    <w:p w:rsidR="001F72B2" w:rsidRPr="00563D2C" w:rsidRDefault="001F72B2" w:rsidP="001F72B2">
      <w:pPr>
        <w:rPr>
          <w:b/>
          <w:i/>
          <w:sz w:val="28"/>
          <w:szCs w:val="28"/>
          <w:u w:val="single"/>
        </w:rPr>
      </w:pPr>
      <w:r w:rsidRPr="00563D2C">
        <w:rPr>
          <w:b/>
          <w:i/>
          <w:sz w:val="28"/>
          <w:szCs w:val="28"/>
          <w:u w:val="single"/>
        </w:rPr>
        <w:t>Purpose</w:t>
      </w:r>
    </w:p>
    <w:p w:rsidR="00D27957" w:rsidRDefault="00982AA9" w:rsidP="004C71B3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To i</w:t>
      </w:r>
      <w:r w:rsidR="00D27957" w:rsidRPr="004E00B2">
        <w:rPr>
          <w:rFonts w:cstheme="minorHAnsi"/>
          <w:color w:val="222222"/>
          <w:shd w:val="clear" w:color="auto" w:fill="FFFFFF"/>
        </w:rPr>
        <w:t>mplement policies and procedures that govern the receipt and removal of hardware and electronic media that contain electronic protected health information into and out of a facility, and the movement of these items within the facility.</w:t>
      </w:r>
    </w:p>
    <w:p w:rsidR="008E41A8" w:rsidRDefault="008E41A8" w:rsidP="004C71B3">
      <w:pPr>
        <w:rPr>
          <w:rFonts w:cstheme="minorHAnsi"/>
          <w:b/>
          <w:color w:val="222222"/>
          <w:sz w:val="28"/>
          <w:szCs w:val="28"/>
          <w:u w:val="single"/>
          <w:shd w:val="clear" w:color="auto" w:fill="FFFFFF"/>
        </w:rPr>
      </w:pPr>
      <w:r w:rsidRPr="004E00B2">
        <w:rPr>
          <w:rFonts w:cstheme="minorHAnsi"/>
          <w:b/>
          <w:color w:val="222222"/>
          <w:sz w:val="28"/>
          <w:szCs w:val="28"/>
          <w:u w:val="single"/>
          <w:shd w:val="clear" w:color="auto" w:fill="FFFFFF"/>
        </w:rPr>
        <w:t>Guidance</w:t>
      </w:r>
    </w:p>
    <w:p w:rsidR="008E41A8" w:rsidRPr="008E41A8" w:rsidRDefault="008E41A8" w:rsidP="004C71B3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Covered entities must implement documented policies and procedures to govern the receipt and removal of electronic hardware that may contain </w:t>
      </w:r>
      <w:proofErr w:type="spellStart"/>
      <w:r>
        <w:rPr>
          <w:rFonts w:cstheme="minorHAnsi"/>
          <w:color w:val="222222"/>
          <w:sz w:val="24"/>
          <w:szCs w:val="24"/>
          <w:shd w:val="clear" w:color="auto" w:fill="FFFFFF"/>
        </w:rPr>
        <w:t>ePHI</w:t>
      </w:r>
      <w:proofErr w:type="spellEnd"/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</w:p>
    <w:p w:rsidR="004E00B2" w:rsidRPr="004E00B2" w:rsidRDefault="004E00B2" w:rsidP="004C71B3">
      <w:pPr>
        <w:rPr>
          <w:rFonts w:cstheme="minorHAnsi"/>
          <w:b/>
          <w:sz w:val="28"/>
          <w:szCs w:val="28"/>
        </w:rPr>
      </w:pPr>
      <w:r w:rsidRPr="004E00B2">
        <w:rPr>
          <w:rFonts w:cstheme="minorHAnsi"/>
          <w:b/>
          <w:sz w:val="28"/>
          <w:szCs w:val="28"/>
        </w:rPr>
        <w:t>Disposal</w:t>
      </w:r>
    </w:p>
    <w:p w:rsidR="004E00B2" w:rsidRPr="00982AA9" w:rsidRDefault="008E41A8" w:rsidP="004E00B2">
      <w:pPr>
        <w:rPr>
          <w:rFonts w:cstheme="minorHAnsi"/>
        </w:rPr>
      </w:pPr>
      <w:r>
        <w:rPr>
          <w:rFonts w:cstheme="minorHAnsi"/>
        </w:rPr>
        <w:t xml:space="preserve">Implementation: </w:t>
      </w:r>
      <w:r w:rsidR="004E00B2" w:rsidRPr="00982AA9">
        <w:rPr>
          <w:rFonts w:cstheme="minorHAnsi"/>
        </w:rPr>
        <w:t xml:space="preserve">Ensure that </w:t>
      </w:r>
      <w:proofErr w:type="spellStart"/>
      <w:r w:rsidR="004E00B2" w:rsidRPr="00982AA9">
        <w:rPr>
          <w:rFonts w:cstheme="minorHAnsi"/>
        </w:rPr>
        <w:t>ePHI</w:t>
      </w:r>
      <w:proofErr w:type="spellEnd"/>
      <w:r w:rsidR="004E00B2" w:rsidRPr="00982AA9">
        <w:rPr>
          <w:rFonts w:cstheme="minorHAnsi"/>
        </w:rPr>
        <w:t xml:space="preserve"> on hardware and electronic media, including copiers, faxes, printers, etc., is unusable and/or inaccessible prior to disposal, including disposal by a </w:t>
      </w:r>
      <w:r w:rsidR="00970E4D" w:rsidRPr="00970E4D">
        <w:rPr>
          <w:rFonts w:cstheme="minorHAnsi"/>
        </w:rPr>
        <w:t>Business Associate</w:t>
      </w:r>
      <w:r w:rsidR="004E00B2" w:rsidRPr="00970E4D">
        <w:rPr>
          <w:rFonts w:cstheme="minorHAnsi"/>
        </w:rPr>
        <w:t>.</w:t>
      </w:r>
      <w:r w:rsidR="004E00B2" w:rsidRPr="00982AA9">
        <w:rPr>
          <w:rFonts w:cstheme="minorHAnsi"/>
          <w:b/>
          <w:bCs/>
          <w:i/>
          <w:lang w:val="en"/>
        </w:rPr>
        <w:t xml:space="preserve"> </w:t>
      </w:r>
      <w:r w:rsidR="004E00B2" w:rsidRPr="00982AA9">
        <w:rPr>
          <w:rFonts w:cstheme="minorHAnsi"/>
          <w:bCs/>
          <w:lang w:val="en"/>
        </w:rPr>
        <w:t>164.310(d</w:t>
      </w:r>
      <w:proofErr w:type="gramStart"/>
      <w:r w:rsidR="004E00B2" w:rsidRPr="00982AA9">
        <w:rPr>
          <w:rFonts w:cstheme="minorHAnsi"/>
          <w:bCs/>
          <w:lang w:val="en"/>
        </w:rPr>
        <w:t>)(</w:t>
      </w:r>
      <w:proofErr w:type="gramEnd"/>
      <w:r w:rsidR="004E00B2" w:rsidRPr="00982AA9">
        <w:rPr>
          <w:rFonts w:cstheme="minorHAnsi"/>
          <w:bCs/>
          <w:lang w:val="en"/>
        </w:rPr>
        <w:t>2)(</w:t>
      </w:r>
      <w:proofErr w:type="spellStart"/>
      <w:r w:rsidR="004E00B2" w:rsidRPr="00982AA9">
        <w:rPr>
          <w:rFonts w:cstheme="minorHAnsi"/>
          <w:bCs/>
          <w:lang w:val="en"/>
        </w:rPr>
        <w:t>i</w:t>
      </w:r>
      <w:proofErr w:type="spellEnd"/>
      <w:r w:rsidR="004E00B2" w:rsidRPr="00982AA9">
        <w:rPr>
          <w:rFonts w:cstheme="minorHAnsi"/>
          <w:bCs/>
          <w:lang w:val="en"/>
        </w:rPr>
        <w:t>)</w:t>
      </w:r>
    </w:p>
    <w:p w:rsidR="004E00B2" w:rsidRPr="00982AA9" w:rsidRDefault="004E00B2" w:rsidP="004E00B2">
      <w:pPr>
        <w:numPr>
          <w:ilvl w:val="0"/>
          <w:numId w:val="18"/>
        </w:numPr>
        <w:rPr>
          <w:rFonts w:cstheme="minorHAnsi"/>
        </w:rPr>
      </w:pPr>
      <w:r w:rsidRPr="00982AA9">
        <w:rPr>
          <w:rFonts w:cstheme="minorHAnsi"/>
        </w:rPr>
        <w:t>When portable media is discarded, it must either be overwritten in accordance with National Institute of Standards an</w:t>
      </w:r>
      <w:r w:rsidR="001C2B28">
        <w:rPr>
          <w:rFonts w:cstheme="minorHAnsi"/>
        </w:rPr>
        <w:t xml:space="preserve">d Technology (NIST) </w:t>
      </w:r>
      <w:hyperlink r:id="rId5" w:history="1">
        <w:r w:rsidR="001C2B28" w:rsidRPr="001C2B28">
          <w:rPr>
            <w:rStyle w:val="Hyperlink"/>
            <w:rFonts w:cstheme="minorHAnsi"/>
          </w:rPr>
          <w:t>guidelines</w:t>
        </w:r>
      </w:hyperlink>
      <w:r w:rsidRPr="00982AA9">
        <w:rPr>
          <w:rFonts w:cstheme="minorHAnsi"/>
        </w:rPr>
        <w:t xml:space="preserve">, or physically destroyed, eliminating all possibility that any </w:t>
      </w:r>
      <w:proofErr w:type="spellStart"/>
      <w:r w:rsidRPr="00982AA9">
        <w:rPr>
          <w:rFonts w:cstheme="minorHAnsi"/>
        </w:rPr>
        <w:t>ePHI</w:t>
      </w:r>
      <w:proofErr w:type="spellEnd"/>
      <w:r w:rsidRPr="00982AA9">
        <w:rPr>
          <w:rFonts w:cstheme="minorHAnsi"/>
        </w:rPr>
        <w:t xml:space="preserve"> contents could be read.</w:t>
      </w:r>
    </w:p>
    <w:p w:rsidR="004E00B2" w:rsidRPr="00982AA9" w:rsidRDefault="004E00B2" w:rsidP="004E00B2">
      <w:pPr>
        <w:numPr>
          <w:ilvl w:val="0"/>
          <w:numId w:val="18"/>
        </w:numPr>
        <w:rPr>
          <w:rFonts w:cstheme="minorHAnsi"/>
        </w:rPr>
      </w:pPr>
      <w:r w:rsidRPr="00982AA9">
        <w:rPr>
          <w:rFonts w:cstheme="minorHAnsi"/>
        </w:rPr>
        <w:t xml:space="preserve">When a system is recycled, transferred to another user not authorized for the data, or discarded, all storage devices or all </w:t>
      </w:r>
      <w:proofErr w:type="spellStart"/>
      <w:r w:rsidRPr="00982AA9">
        <w:rPr>
          <w:rFonts w:cstheme="minorHAnsi"/>
        </w:rPr>
        <w:t>ePHI</w:t>
      </w:r>
      <w:proofErr w:type="spellEnd"/>
      <w:r w:rsidRPr="00982AA9">
        <w:rPr>
          <w:rFonts w:cstheme="minorHAnsi"/>
        </w:rPr>
        <w:t xml:space="preserve"> records must be overwritten in accordance with NIST guidelines (link above), or physically destroyed, rendering all </w:t>
      </w:r>
      <w:proofErr w:type="spellStart"/>
      <w:r w:rsidRPr="00982AA9">
        <w:rPr>
          <w:rFonts w:cstheme="minorHAnsi"/>
        </w:rPr>
        <w:t>ePHI</w:t>
      </w:r>
      <w:proofErr w:type="spellEnd"/>
      <w:r w:rsidRPr="00982AA9">
        <w:rPr>
          <w:rFonts w:cstheme="minorHAnsi"/>
        </w:rPr>
        <w:t xml:space="preserve"> records unreadable.</w:t>
      </w:r>
    </w:p>
    <w:p w:rsidR="004E00B2" w:rsidRPr="004E00B2" w:rsidRDefault="004E00B2" w:rsidP="004E00B2">
      <w:pPr>
        <w:rPr>
          <w:rFonts w:cstheme="minorHAnsi"/>
          <w:b/>
          <w:color w:val="222222"/>
          <w:sz w:val="28"/>
          <w:szCs w:val="28"/>
          <w:shd w:val="clear" w:color="auto" w:fill="FFFFFF"/>
        </w:rPr>
      </w:pPr>
      <w:r w:rsidRPr="004E00B2">
        <w:rPr>
          <w:rFonts w:cstheme="minorHAnsi"/>
          <w:b/>
          <w:color w:val="222222"/>
          <w:sz w:val="28"/>
          <w:szCs w:val="28"/>
          <w:shd w:val="clear" w:color="auto" w:fill="FFFFFF"/>
        </w:rPr>
        <w:t>Media Re-use</w:t>
      </w:r>
    </w:p>
    <w:p w:rsidR="004E00B2" w:rsidRPr="004E00B2" w:rsidRDefault="004E00B2" w:rsidP="004E00B2">
      <w:pPr>
        <w:rPr>
          <w:rFonts w:cstheme="minorHAnsi"/>
          <w:b/>
          <w:color w:val="222222"/>
          <w:shd w:val="clear" w:color="auto" w:fill="FFFFFF"/>
        </w:rPr>
      </w:pPr>
      <w:r w:rsidRPr="004E00B2">
        <w:rPr>
          <w:rFonts w:cstheme="minorHAnsi"/>
          <w:color w:val="222222"/>
          <w:shd w:val="clear" w:color="auto" w:fill="FFFFFF"/>
        </w:rPr>
        <w:t>Implement</w:t>
      </w:r>
      <w:r w:rsidR="008E41A8">
        <w:rPr>
          <w:rFonts w:cstheme="minorHAnsi"/>
          <w:color w:val="222222"/>
          <w:shd w:val="clear" w:color="auto" w:fill="FFFFFF"/>
        </w:rPr>
        <w:t>ation: Create</w:t>
      </w:r>
      <w:r w:rsidRPr="004E00B2">
        <w:rPr>
          <w:rFonts w:cstheme="minorHAnsi"/>
          <w:color w:val="222222"/>
          <w:shd w:val="clear" w:color="auto" w:fill="FFFFFF"/>
        </w:rPr>
        <w:t xml:space="preserve"> procedures for</w:t>
      </w:r>
      <w:r w:rsidR="008E41A8">
        <w:rPr>
          <w:rFonts w:cstheme="minorHAnsi"/>
          <w:color w:val="222222"/>
          <w:shd w:val="clear" w:color="auto" w:fill="FFFFFF"/>
        </w:rPr>
        <w:t xml:space="preserve"> the</w:t>
      </w:r>
      <w:r w:rsidRPr="004E00B2">
        <w:rPr>
          <w:rFonts w:cstheme="minorHAnsi"/>
          <w:color w:val="222222"/>
          <w:shd w:val="clear" w:color="auto" w:fill="FFFFFF"/>
        </w:rPr>
        <w:t xml:space="preserve"> removal of electronic protected health information from elect</w:t>
      </w:r>
      <w:r w:rsidR="008E41A8">
        <w:rPr>
          <w:rFonts w:cstheme="minorHAnsi"/>
          <w:color w:val="222222"/>
          <w:shd w:val="clear" w:color="auto" w:fill="FFFFFF"/>
        </w:rPr>
        <w:t>ronic media before the media is</w:t>
      </w:r>
      <w:r w:rsidRPr="004E00B2">
        <w:rPr>
          <w:rFonts w:cstheme="minorHAnsi"/>
          <w:color w:val="222222"/>
          <w:shd w:val="clear" w:color="auto" w:fill="FFFFFF"/>
        </w:rPr>
        <w:t xml:space="preserve"> made available for re-use.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Pr="004E00B2">
        <w:rPr>
          <w:bCs/>
          <w:lang w:val="en"/>
        </w:rPr>
        <w:t>164.310(d</w:t>
      </w:r>
      <w:proofErr w:type="gramStart"/>
      <w:r w:rsidRPr="004E00B2">
        <w:rPr>
          <w:bCs/>
          <w:lang w:val="en"/>
        </w:rPr>
        <w:t>)(</w:t>
      </w:r>
      <w:proofErr w:type="gramEnd"/>
      <w:r w:rsidRPr="004E00B2">
        <w:rPr>
          <w:bCs/>
          <w:lang w:val="en"/>
        </w:rPr>
        <w:t>2)(ii)</w:t>
      </w:r>
    </w:p>
    <w:p w:rsidR="004E00B2" w:rsidRPr="004E00B2" w:rsidRDefault="004E00B2" w:rsidP="004E00B2">
      <w:pPr>
        <w:pStyle w:val="ListParagraph"/>
        <w:numPr>
          <w:ilvl w:val="0"/>
          <w:numId w:val="19"/>
        </w:numPr>
        <w:rPr>
          <w:rFonts w:cstheme="minorHAnsi"/>
        </w:rPr>
      </w:pPr>
      <w:r w:rsidRPr="004E00B2">
        <w:rPr>
          <w:rFonts w:cstheme="minorHAnsi"/>
        </w:rPr>
        <w:t xml:space="preserve">Ensure that </w:t>
      </w:r>
      <w:proofErr w:type="spellStart"/>
      <w:r w:rsidRPr="004E00B2">
        <w:rPr>
          <w:rFonts w:cstheme="minorHAnsi"/>
        </w:rPr>
        <w:t>ePHI</w:t>
      </w:r>
      <w:proofErr w:type="spellEnd"/>
      <w:r w:rsidRPr="004E00B2">
        <w:rPr>
          <w:rFonts w:cstheme="minorHAnsi"/>
        </w:rPr>
        <w:t xml:space="preserve"> on hardware and electronic media is unusable and/or inaccessible prior to re-use.</w:t>
      </w:r>
    </w:p>
    <w:p w:rsidR="004E00B2" w:rsidRPr="004E00B2" w:rsidRDefault="004E00B2" w:rsidP="004E00B2">
      <w:pPr>
        <w:pStyle w:val="ListParagraph"/>
        <w:numPr>
          <w:ilvl w:val="0"/>
          <w:numId w:val="19"/>
        </w:numPr>
        <w:rPr>
          <w:rFonts w:cstheme="minorHAnsi"/>
        </w:rPr>
      </w:pPr>
      <w:r w:rsidRPr="004E00B2">
        <w:rPr>
          <w:rFonts w:cstheme="minorHAnsi"/>
        </w:rPr>
        <w:t xml:space="preserve">When a system is recycled or transferred to another user not authorized for the data, or otherwise re-used outside of a HIPAA-compliant environment, all storage devices or all </w:t>
      </w:r>
      <w:proofErr w:type="spellStart"/>
      <w:r w:rsidRPr="004E00B2">
        <w:rPr>
          <w:rFonts w:cstheme="minorHAnsi"/>
        </w:rPr>
        <w:t>ePHI</w:t>
      </w:r>
      <w:proofErr w:type="spellEnd"/>
      <w:r w:rsidRPr="004E00B2">
        <w:rPr>
          <w:rFonts w:cstheme="minorHAnsi"/>
        </w:rPr>
        <w:t xml:space="preserve"> records must be overwritten in accordance with National Institute of Standards and Technology (NIST) guidelines, </w:t>
      </w:r>
      <w:hyperlink r:id="rId6" w:history="1">
        <w:r w:rsidRPr="004E00B2">
          <w:rPr>
            <w:rStyle w:val="Hyperlink"/>
            <w:rFonts w:cstheme="minorHAnsi"/>
          </w:rPr>
          <w:t>http://nvlpubs.nist.gov/nistpubs/SpecialPublications/NIST.SP.800-88r1.pdf</w:t>
        </w:r>
      </w:hyperlink>
      <w:r w:rsidRPr="004E00B2">
        <w:rPr>
          <w:rFonts w:cstheme="minorHAnsi"/>
        </w:rPr>
        <w:t xml:space="preserve">, rendering all </w:t>
      </w:r>
      <w:proofErr w:type="spellStart"/>
      <w:r w:rsidRPr="004E00B2">
        <w:rPr>
          <w:rFonts w:cstheme="minorHAnsi"/>
        </w:rPr>
        <w:t>ePHI</w:t>
      </w:r>
      <w:proofErr w:type="spellEnd"/>
      <w:r w:rsidRPr="004E00B2">
        <w:rPr>
          <w:rFonts w:cstheme="minorHAnsi"/>
        </w:rPr>
        <w:t xml:space="preserve"> records unreadable.</w:t>
      </w:r>
    </w:p>
    <w:p w:rsidR="004E00B2" w:rsidRPr="004E00B2" w:rsidRDefault="004E00B2" w:rsidP="004E00B2">
      <w:pPr>
        <w:rPr>
          <w:rFonts w:cstheme="minorHAnsi"/>
          <w:b/>
          <w:color w:val="222222"/>
          <w:sz w:val="28"/>
          <w:szCs w:val="28"/>
          <w:shd w:val="clear" w:color="auto" w:fill="FFFFFF"/>
        </w:rPr>
      </w:pPr>
      <w:r w:rsidRPr="004E00B2">
        <w:rPr>
          <w:rFonts w:cstheme="minorHAnsi"/>
          <w:b/>
          <w:color w:val="222222"/>
          <w:sz w:val="28"/>
          <w:szCs w:val="28"/>
          <w:shd w:val="clear" w:color="auto" w:fill="FFFFFF"/>
        </w:rPr>
        <w:t>Accountability</w:t>
      </w:r>
    </w:p>
    <w:p w:rsidR="004E00B2" w:rsidRPr="004E00B2" w:rsidRDefault="008E41A8" w:rsidP="004E00B2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Implementation: </w:t>
      </w:r>
      <w:r w:rsidR="004E00B2" w:rsidRPr="004E00B2">
        <w:rPr>
          <w:rFonts w:cstheme="minorHAnsi"/>
          <w:color w:val="222222"/>
          <w:shd w:val="clear" w:color="auto" w:fill="FFFFFF"/>
        </w:rPr>
        <w:t>Maintain a record of the movements of hardware and electronic media and any person responsible therefore.</w:t>
      </w:r>
      <w:r w:rsidR="00931889">
        <w:rPr>
          <w:rFonts w:cstheme="minorHAnsi"/>
          <w:color w:val="222222"/>
          <w:shd w:val="clear" w:color="auto" w:fill="FFFFFF"/>
        </w:rPr>
        <w:t xml:space="preserve"> </w:t>
      </w:r>
      <w:r w:rsidR="00931889" w:rsidRPr="00931889">
        <w:rPr>
          <w:bCs/>
          <w:lang w:val="en"/>
        </w:rPr>
        <w:t>164.310(d</w:t>
      </w:r>
      <w:proofErr w:type="gramStart"/>
      <w:r w:rsidR="00931889" w:rsidRPr="00931889">
        <w:rPr>
          <w:bCs/>
          <w:lang w:val="en"/>
        </w:rPr>
        <w:t>)(</w:t>
      </w:r>
      <w:proofErr w:type="gramEnd"/>
      <w:r w:rsidR="00931889" w:rsidRPr="00931889">
        <w:rPr>
          <w:bCs/>
          <w:lang w:val="en"/>
        </w:rPr>
        <w:t>2)(iii)</w:t>
      </w:r>
    </w:p>
    <w:p w:rsidR="004E00B2" w:rsidRPr="004E00B2" w:rsidRDefault="004E00B2" w:rsidP="004E00B2">
      <w:pPr>
        <w:numPr>
          <w:ilvl w:val="0"/>
          <w:numId w:val="20"/>
        </w:numPr>
        <w:rPr>
          <w:rFonts w:cstheme="minorHAnsi"/>
        </w:rPr>
      </w:pPr>
      <w:r w:rsidRPr="004E00B2">
        <w:rPr>
          <w:rFonts w:cstheme="minorHAnsi"/>
        </w:rPr>
        <w:t xml:space="preserve">The responsible HIPAA entity must maintain a record of the movements of, and person(s) responsible for, hardware and electronic media containing </w:t>
      </w:r>
      <w:proofErr w:type="spellStart"/>
      <w:r w:rsidRPr="004E00B2">
        <w:rPr>
          <w:rFonts w:cstheme="minorHAnsi"/>
        </w:rPr>
        <w:t>ePHI</w:t>
      </w:r>
      <w:proofErr w:type="spellEnd"/>
      <w:r w:rsidRPr="004E00B2">
        <w:rPr>
          <w:rFonts w:cstheme="minorHAnsi"/>
        </w:rPr>
        <w:t>.</w:t>
      </w:r>
    </w:p>
    <w:p w:rsidR="004E00B2" w:rsidRPr="004E00B2" w:rsidRDefault="004E00B2" w:rsidP="004E00B2">
      <w:pPr>
        <w:numPr>
          <w:ilvl w:val="1"/>
          <w:numId w:val="20"/>
        </w:numPr>
        <w:rPr>
          <w:rFonts w:cstheme="minorHAnsi"/>
        </w:rPr>
      </w:pPr>
      <w:r w:rsidRPr="004E00B2">
        <w:rPr>
          <w:rFonts w:cstheme="minorHAnsi"/>
        </w:rPr>
        <w:t>Identify all types of hardware and electronic media that must be tracked.</w:t>
      </w:r>
    </w:p>
    <w:p w:rsidR="004E00B2" w:rsidRPr="004E00B2" w:rsidRDefault="004E00B2" w:rsidP="004E00B2">
      <w:pPr>
        <w:numPr>
          <w:ilvl w:val="1"/>
          <w:numId w:val="20"/>
        </w:numPr>
        <w:rPr>
          <w:rFonts w:cstheme="minorHAnsi"/>
        </w:rPr>
      </w:pPr>
      <w:r w:rsidRPr="004E00B2">
        <w:rPr>
          <w:rFonts w:cstheme="minorHAnsi"/>
        </w:rPr>
        <w:t xml:space="preserve">Special attention must be paid to portable devices and removable media. </w:t>
      </w:r>
      <w:r w:rsidRPr="00970E4D">
        <w:rPr>
          <w:rFonts w:cstheme="minorHAnsi"/>
        </w:rPr>
        <w:t xml:space="preserve">These devices should not ordinarily contain </w:t>
      </w:r>
      <w:proofErr w:type="spellStart"/>
      <w:r w:rsidRPr="00970E4D">
        <w:rPr>
          <w:rFonts w:cstheme="minorHAnsi"/>
        </w:rPr>
        <w:t>ePHI</w:t>
      </w:r>
      <w:proofErr w:type="spellEnd"/>
      <w:r w:rsidR="008E41A8">
        <w:rPr>
          <w:rFonts w:cstheme="minorHAnsi"/>
        </w:rPr>
        <w:t>. However if they do, they</w:t>
      </w:r>
      <w:r w:rsidRPr="00970E4D">
        <w:rPr>
          <w:rFonts w:cstheme="minorHAnsi"/>
        </w:rPr>
        <w:t xml:space="preserve"> must be individually </w:t>
      </w:r>
      <w:r w:rsidRPr="00970E4D">
        <w:rPr>
          <w:rFonts w:cstheme="minorHAnsi"/>
        </w:rPr>
        <w:lastRenderedPageBreak/>
        <w:t>identified in the tracking system. Their</w:t>
      </w:r>
      <w:bookmarkStart w:id="0" w:name="_GoBack"/>
      <w:bookmarkEnd w:id="0"/>
      <w:r w:rsidRPr="00970E4D">
        <w:rPr>
          <w:rFonts w:cstheme="minorHAnsi"/>
        </w:rPr>
        <w:t xml:space="preserve"> use must be consistent wi</w:t>
      </w:r>
      <w:r w:rsidRPr="004E00B2">
        <w:rPr>
          <w:rFonts w:cstheme="minorHAnsi"/>
        </w:rPr>
        <w:t>th the individual’s identified role, such as according to a role-based matrix.</w:t>
      </w:r>
    </w:p>
    <w:p w:rsidR="004E00B2" w:rsidRPr="004E00B2" w:rsidRDefault="004E00B2" w:rsidP="004E00B2">
      <w:pPr>
        <w:numPr>
          <w:ilvl w:val="1"/>
          <w:numId w:val="20"/>
        </w:numPr>
        <w:rPr>
          <w:rFonts w:cstheme="minorHAnsi"/>
        </w:rPr>
      </w:pPr>
      <w:r w:rsidRPr="004E00B2">
        <w:rPr>
          <w:rFonts w:cstheme="minorHAnsi"/>
        </w:rPr>
        <w:t>This inventory should be physically confirmed at least annually.</w:t>
      </w:r>
    </w:p>
    <w:p w:rsidR="004E00B2" w:rsidRPr="004E00B2" w:rsidRDefault="004E00B2" w:rsidP="004E00B2">
      <w:pPr>
        <w:numPr>
          <w:ilvl w:val="1"/>
          <w:numId w:val="20"/>
        </w:numPr>
        <w:rPr>
          <w:rFonts w:cstheme="minorHAnsi"/>
        </w:rPr>
      </w:pPr>
      <w:r w:rsidRPr="004E00B2">
        <w:rPr>
          <w:rFonts w:cstheme="minorHAnsi"/>
        </w:rPr>
        <w:t xml:space="preserve">Tracking system must include a mechanism for documenting the initial assignment of responsibility for devices that contain </w:t>
      </w:r>
      <w:proofErr w:type="spellStart"/>
      <w:r w:rsidRPr="004E00B2">
        <w:rPr>
          <w:rFonts w:cstheme="minorHAnsi"/>
        </w:rPr>
        <w:t>ePHI</w:t>
      </w:r>
      <w:proofErr w:type="spellEnd"/>
      <w:r w:rsidRPr="004E00B2">
        <w:rPr>
          <w:rFonts w:cstheme="minorHAnsi"/>
        </w:rPr>
        <w:t>, as well as the transfer of authority for these devices.</w:t>
      </w:r>
    </w:p>
    <w:p w:rsidR="004E00B2" w:rsidRPr="00931889" w:rsidRDefault="004E00B2" w:rsidP="00931889">
      <w:pPr>
        <w:pStyle w:val="ListParagraph"/>
        <w:numPr>
          <w:ilvl w:val="0"/>
          <w:numId w:val="23"/>
        </w:numPr>
        <w:rPr>
          <w:rFonts w:cstheme="minorHAnsi"/>
        </w:rPr>
      </w:pPr>
      <w:r w:rsidRPr="00931889">
        <w:rPr>
          <w:rFonts w:cstheme="minorHAnsi"/>
        </w:rPr>
        <w:t>Transport of archival media between the origination point and remote storage location must use a secure method to avoid unauthorized access to the archival media.</w:t>
      </w:r>
    </w:p>
    <w:p w:rsidR="00982AA9" w:rsidRDefault="004E00B2" w:rsidP="00931889">
      <w:pPr>
        <w:pStyle w:val="ListParagraph"/>
        <w:numPr>
          <w:ilvl w:val="0"/>
          <w:numId w:val="23"/>
        </w:numPr>
        <w:rPr>
          <w:rFonts w:cstheme="minorHAnsi"/>
        </w:rPr>
      </w:pPr>
      <w:r w:rsidRPr="00931889">
        <w:rPr>
          <w:rFonts w:cstheme="minorHAnsi"/>
        </w:rPr>
        <w:t xml:space="preserve">Loss or theft of electronic equipment or media containing </w:t>
      </w:r>
      <w:proofErr w:type="spellStart"/>
      <w:r w:rsidRPr="00931889">
        <w:rPr>
          <w:rFonts w:cstheme="minorHAnsi"/>
        </w:rPr>
        <w:t>ePHI</w:t>
      </w:r>
      <w:proofErr w:type="spellEnd"/>
      <w:r w:rsidRPr="00931889">
        <w:rPr>
          <w:rFonts w:cstheme="minorHAnsi"/>
        </w:rPr>
        <w:t xml:space="preserve"> must immediately be reported according t</w:t>
      </w:r>
      <w:r w:rsidR="00982AA9">
        <w:rPr>
          <w:rFonts w:cstheme="minorHAnsi"/>
        </w:rPr>
        <w:t xml:space="preserve">o the Information Security Office </w:t>
      </w:r>
      <w:hyperlink r:id="rId7" w:history="1">
        <w:r w:rsidR="00982AA9" w:rsidRPr="00982AA9">
          <w:rPr>
            <w:rStyle w:val="Hyperlink"/>
            <w:rFonts w:cstheme="minorHAnsi"/>
          </w:rPr>
          <w:t>incident response procedures</w:t>
        </w:r>
      </w:hyperlink>
      <w:r w:rsidR="00982AA9">
        <w:rPr>
          <w:rFonts w:cstheme="minorHAnsi"/>
        </w:rPr>
        <w:t>.</w:t>
      </w:r>
    </w:p>
    <w:p w:rsidR="004E00B2" w:rsidRPr="00931889" w:rsidRDefault="004E00B2" w:rsidP="00982AA9">
      <w:pPr>
        <w:pStyle w:val="ListParagraph"/>
        <w:ind w:left="1080"/>
        <w:rPr>
          <w:rFonts w:cstheme="minorHAnsi"/>
        </w:rPr>
      </w:pPr>
      <w:r w:rsidRPr="00931889">
        <w:rPr>
          <w:rFonts w:cstheme="minorHAnsi"/>
        </w:rPr>
        <w:t> </w:t>
      </w:r>
    </w:p>
    <w:p w:rsidR="00931889" w:rsidRPr="00931889" w:rsidRDefault="00931889" w:rsidP="00931889">
      <w:pPr>
        <w:rPr>
          <w:rFonts w:cstheme="minorHAnsi"/>
          <w:b/>
          <w:color w:val="222222"/>
          <w:sz w:val="28"/>
          <w:szCs w:val="28"/>
          <w:shd w:val="clear" w:color="auto" w:fill="FFFFFF"/>
        </w:rPr>
      </w:pPr>
      <w:r w:rsidRPr="00931889">
        <w:rPr>
          <w:rFonts w:cstheme="minorHAnsi"/>
          <w:b/>
          <w:color w:val="222222"/>
          <w:sz w:val="28"/>
          <w:szCs w:val="28"/>
          <w:shd w:val="clear" w:color="auto" w:fill="FFFFFF"/>
        </w:rPr>
        <w:t>Data Backup and Storage</w:t>
      </w:r>
    </w:p>
    <w:p w:rsidR="00931889" w:rsidRPr="00931889" w:rsidRDefault="008E41A8" w:rsidP="00931889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Implementation: </w:t>
      </w:r>
      <w:r w:rsidR="00931889" w:rsidRPr="00931889">
        <w:rPr>
          <w:rFonts w:cstheme="minorHAnsi"/>
          <w:color w:val="222222"/>
          <w:shd w:val="clear" w:color="auto" w:fill="FFFFFF"/>
        </w:rPr>
        <w:t>Create a retrievable, exact copy of electronic protected health information, when needed, before movement of equipment. 164.310(d</w:t>
      </w:r>
      <w:proofErr w:type="gramStart"/>
      <w:r w:rsidR="00931889" w:rsidRPr="00931889">
        <w:rPr>
          <w:rFonts w:cstheme="minorHAnsi"/>
          <w:color w:val="222222"/>
          <w:shd w:val="clear" w:color="auto" w:fill="FFFFFF"/>
        </w:rPr>
        <w:t>)(</w:t>
      </w:r>
      <w:proofErr w:type="gramEnd"/>
      <w:r w:rsidR="00931889" w:rsidRPr="00931889">
        <w:rPr>
          <w:rFonts w:cstheme="minorHAnsi"/>
          <w:color w:val="222222"/>
          <w:shd w:val="clear" w:color="auto" w:fill="FFFFFF"/>
        </w:rPr>
        <w:t>2)(iv)</w:t>
      </w:r>
    </w:p>
    <w:p w:rsidR="00931889" w:rsidRPr="00931889" w:rsidRDefault="00931889" w:rsidP="00931889">
      <w:pPr>
        <w:rPr>
          <w:rFonts w:cstheme="minorHAnsi"/>
        </w:rPr>
      </w:pPr>
      <w:r w:rsidRPr="00931889">
        <w:rPr>
          <w:rFonts w:cstheme="minorHAnsi"/>
        </w:rPr>
        <w:t xml:space="preserve">Create a retrievable, exact copy of original sources of essential </w:t>
      </w:r>
      <w:proofErr w:type="spellStart"/>
      <w:r w:rsidRPr="00931889">
        <w:rPr>
          <w:rFonts w:cstheme="minorHAnsi"/>
        </w:rPr>
        <w:t>ePHI</w:t>
      </w:r>
      <w:proofErr w:type="spellEnd"/>
      <w:r w:rsidRPr="00931889">
        <w:rPr>
          <w:rFonts w:cstheme="minorHAnsi"/>
        </w:rPr>
        <w:t xml:space="preserve"> before moving equipment containing them.</w:t>
      </w:r>
    </w:p>
    <w:p w:rsidR="00931889" w:rsidRPr="00931889" w:rsidRDefault="00931889" w:rsidP="001C2B28">
      <w:pPr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931889">
        <w:rPr>
          <w:rFonts w:cstheme="minorHAnsi"/>
        </w:rPr>
        <w:t>Establish a process for documenting or verifying its creation.</w:t>
      </w:r>
    </w:p>
    <w:p w:rsidR="00931889" w:rsidRPr="008A1BB5" w:rsidRDefault="00931889" w:rsidP="001C2B28">
      <w:pPr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931889">
        <w:rPr>
          <w:rFonts w:cstheme="minorHAnsi"/>
        </w:rPr>
        <w:t xml:space="preserve">Retrievable, exact copies of </w:t>
      </w:r>
      <w:proofErr w:type="spellStart"/>
      <w:r w:rsidRPr="00931889">
        <w:rPr>
          <w:rFonts w:cstheme="minorHAnsi"/>
        </w:rPr>
        <w:t>ePHI</w:t>
      </w:r>
      <w:proofErr w:type="spellEnd"/>
      <w:r w:rsidRPr="00931889">
        <w:rPr>
          <w:rFonts w:cstheme="minorHAnsi"/>
        </w:rPr>
        <w:t xml:space="preserve"> must be protected in accordance with these Standards</w:t>
      </w:r>
      <w:r w:rsidRPr="008A1BB5">
        <w:rPr>
          <w:sz w:val="24"/>
          <w:szCs w:val="24"/>
        </w:rPr>
        <w:t>.</w:t>
      </w:r>
    </w:p>
    <w:p w:rsidR="00931889" w:rsidRPr="004E00B2" w:rsidRDefault="00931889" w:rsidP="00931889">
      <w:pPr>
        <w:rPr>
          <w:rFonts w:cstheme="minorHAnsi"/>
        </w:rPr>
      </w:pPr>
    </w:p>
    <w:p w:rsidR="004E00B2" w:rsidRPr="004E00B2" w:rsidRDefault="004E00B2" w:rsidP="004E00B2">
      <w:pPr>
        <w:rPr>
          <w:rFonts w:cstheme="minorHAnsi"/>
          <w:sz w:val="24"/>
          <w:szCs w:val="24"/>
        </w:rPr>
      </w:pPr>
    </w:p>
    <w:p w:rsidR="004E00B2" w:rsidRDefault="004E00B2" w:rsidP="004E00B2">
      <w:pPr>
        <w:rPr>
          <w:sz w:val="24"/>
          <w:szCs w:val="24"/>
        </w:rPr>
      </w:pPr>
    </w:p>
    <w:p w:rsidR="004E00B2" w:rsidRPr="00F93C71" w:rsidRDefault="004E00B2" w:rsidP="004E00B2">
      <w:pPr>
        <w:rPr>
          <w:sz w:val="24"/>
          <w:szCs w:val="24"/>
        </w:rPr>
      </w:pPr>
    </w:p>
    <w:p w:rsidR="004E00B2" w:rsidRPr="00F93C71" w:rsidRDefault="004E00B2" w:rsidP="004E00B2">
      <w:pPr>
        <w:rPr>
          <w:sz w:val="24"/>
          <w:szCs w:val="24"/>
        </w:rPr>
      </w:pPr>
    </w:p>
    <w:p w:rsidR="004E00B2" w:rsidRPr="004E00B2" w:rsidRDefault="004E00B2" w:rsidP="004C71B3">
      <w:pPr>
        <w:rPr>
          <w:rFonts w:cstheme="minorHAnsi"/>
          <w:color w:val="222222"/>
          <w:sz w:val="28"/>
          <w:szCs w:val="28"/>
          <w:shd w:val="clear" w:color="auto" w:fill="FFFFFF"/>
        </w:rPr>
      </w:pPr>
    </w:p>
    <w:p w:rsidR="00C44C3F" w:rsidRPr="00136933" w:rsidRDefault="00C44C3F" w:rsidP="001F72B2">
      <w:pPr>
        <w:rPr>
          <w:sz w:val="24"/>
          <w:szCs w:val="24"/>
        </w:rPr>
      </w:pPr>
    </w:p>
    <w:sectPr w:rsidR="00C44C3F" w:rsidRPr="00136933" w:rsidSect="00FE7218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531"/>
    <w:multiLevelType w:val="hybridMultilevel"/>
    <w:tmpl w:val="59A45F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D151C"/>
    <w:multiLevelType w:val="hybridMultilevel"/>
    <w:tmpl w:val="27FC6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96B72"/>
    <w:multiLevelType w:val="hybridMultilevel"/>
    <w:tmpl w:val="7A046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A4984"/>
    <w:multiLevelType w:val="multilevel"/>
    <w:tmpl w:val="275C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F0989"/>
    <w:multiLevelType w:val="multilevel"/>
    <w:tmpl w:val="EEF278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11BAB"/>
    <w:multiLevelType w:val="hybridMultilevel"/>
    <w:tmpl w:val="4B962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91FAC"/>
    <w:multiLevelType w:val="multilevel"/>
    <w:tmpl w:val="8DC4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46F08"/>
    <w:multiLevelType w:val="hybridMultilevel"/>
    <w:tmpl w:val="980A5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13A3C"/>
    <w:multiLevelType w:val="hybridMultilevel"/>
    <w:tmpl w:val="87F40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B0322"/>
    <w:multiLevelType w:val="hybridMultilevel"/>
    <w:tmpl w:val="9050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22861"/>
    <w:multiLevelType w:val="hybridMultilevel"/>
    <w:tmpl w:val="A878B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E00E3"/>
    <w:multiLevelType w:val="hybridMultilevel"/>
    <w:tmpl w:val="80F6C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70023"/>
    <w:multiLevelType w:val="multilevel"/>
    <w:tmpl w:val="F54852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735B48"/>
    <w:multiLevelType w:val="multilevel"/>
    <w:tmpl w:val="31E8EF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7E2D6D"/>
    <w:multiLevelType w:val="hybridMultilevel"/>
    <w:tmpl w:val="F4F6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A6293"/>
    <w:multiLevelType w:val="hybridMultilevel"/>
    <w:tmpl w:val="D6E6A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066B3"/>
    <w:multiLevelType w:val="hybridMultilevel"/>
    <w:tmpl w:val="4DE6D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F4B57"/>
    <w:multiLevelType w:val="hybridMultilevel"/>
    <w:tmpl w:val="0D6EB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66DFA"/>
    <w:multiLevelType w:val="hybridMultilevel"/>
    <w:tmpl w:val="D2766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4141F"/>
    <w:multiLevelType w:val="hybridMultilevel"/>
    <w:tmpl w:val="2276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B40E3"/>
    <w:multiLevelType w:val="hybridMultilevel"/>
    <w:tmpl w:val="EECE1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D5E07"/>
    <w:multiLevelType w:val="hybridMultilevel"/>
    <w:tmpl w:val="E646A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BF1FB5"/>
    <w:multiLevelType w:val="hybridMultilevel"/>
    <w:tmpl w:val="56768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19"/>
  </w:num>
  <w:num w:numId="4">
    <w:abstractNumId w:val="15"/>
  </w:num>
  <w:num w:numId="5">
    <w:abstractNumId w:val="11"/>
  </w:num>
  <w:num w:numId="6">
    <w:abstractNumId w:val="20"/>
  </w:num>
  <w:num w:numId="7">
    <w:abstractNumId w:val="1"/>
  </w:num>
  <w:num w:numId="8">
    <w:abstractNumId w:val="9"/>
  </w:num>
  <w:num w:numId="9">
    <w:abstractNumId w:val="14"/>
  </w:num>
  <w:num w:numId="10">
    <w:abstractNumId w:val="10"/>
  </w:num>
  <w:num w:numId="11">
    <w:abstractNumId w:val="0"/>
  </w:num>
  <w:num w:numId="12">
    <w:abstractNumId w:val="5"/>
  </w:num>
  <w:num w:numId="13">
    <w:abstractNumId w:val="2"/>
  </w:num>
  <w:num w:numId="14">
    <w:abstractNumId w:val="7"/>
  </w:num>
  <w:num w:numId="15">
    <w:abstractNumId w:val="18"/>
  </w:num>
  <w:num w:numId="16">
    <w:abstractNumId w:val="16"/>
  </w:num>
  <w:num w:numId="17">
    <w:abstractNumId w:val="13"/>
  </w:num>
  <w:num w:numId="18">
    <w:abstractNumId w:val="6"/>
  </w:num>
  <w:num w:numId="19">
    <w:abstractNumId w:val="8"/>
  </w:num>
  <w:num w:numId="20">
    <w:abstractNumId w:val="4"/>
  </w:num>
  <w:num w:numId="21">
    <w:abstractNumId w:val="12"/>
  </w:num>
  <w:num w:numId="22">
    <w:abstractNumId w:val="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97"/>
    <w:rsid w:val="00136933"/>
    <w:rsid w:val="001C2B28"/>
    <w:rsid w:val="001F72B2"/>
    <w:rsid w:val="00252106"/>
    <w:rsid w:val="00274697"/>
    <w:rsid w:val="002F7EFB"/>
    <w:rsid w:val="003E60F6"/>
    <w:rsid w:val="00464044"/>
    <w:rsid w:val="004C71B3"/>
    <w:rsid w:val="004E00B2"/>
    <w:rsid w:val="005502A8"/>
    <w:rsid w:val="00575CD4"/>
    <w:rsid w:val="005C2290"/>
    <w:rsid w:val="007C4CF3"/>
    <w:rsid w:val="008707B9"/>
    <w:rsid w:val="008B55DB"/>
    <w:rsid w:val="008C2855"/>
    <w:rsid w:val="008C4F24"/>
    <w:rsid w:val="008C7963"/>
    <w:rsid w:val="008E41A8"/>
    <w:rsid w:val="00931889"/>
    <w:rsid w:val="00970E4D"/>
    <w:rsid w:val="00982AA9"/>
    <w:rsid w:val="00A36DA5"/>
    <w:rsid w:val="00AB565D"/>
    <w:rsid w:val="00B005AC"/>
    <w:rsid w:val="00B22D99"/>
    <w:rsid w:val="00BD3437"/>
    <w:rsid w:val="00BD5C26"/>
    <w:rsid w:val="00C36775"/>
    <w:rsid w:val="00C44C3F"/>
    <w:rsid w:val="00C81D84"/>
    <w:rsid w:val="00CE62CD"/>
    <w:rsid w:val="00D270B9"/>
    <w:rsid w:val="00D27957"/>
    <w:rsid w:val="00D56BC4"/>
    <w:rsid w:val="00D7234F"/>
    <w:rsid w:val="00DB2621"/>
    <w:rsid w:val="00E01445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3A3D6"/>
  <w15:chartTrackingRefBased/>
  <w15:docId w15:val="{DAA45DA9-D014-4E33-8C1E-11C710BE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C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5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7E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4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uisville.edu/security/incident-reporting-and-respon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vlpubs.nist.gov/nistpubs/SpecialPublications/NIST.SP.800-88r1.pdf" TargetMode="External"/><Relationship Id="rId5" Type="http://schemas.openxmlformats.org/officeDocument/2006/relationships/hyperlink" Target="http://nvlpubs.nist.gov/nistpubs/SpecialPublications/NIST.SP.800-88r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Cooper,Lisa L</dc:creator>
  <cp:keywords/>
  <dc:description/>
  <cp:lastModifiedBy>Cooper,Lisa L</cp:lastModifiedBy>
  <cp:revision>7</cp:revision>
  <dcterms:created xsi:type="dcterms:W3CDTF">2019-05-20T20:07:00Z</dcterms:created>
  <dcterms:modified xsi:type="dcterms:W3CDTF">2019-07-25T16:06:00Z</dcterms:modified>
</cp:coreProperties>
</file>