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2D" w:rsidRPr="00BC072D" w:rsidRDefault="00A34047" w:rsidP="00BC072D">
      <w:pPr>
        <w:pStyle w:val="NoSpacing"/>
        <w:jc w:val="center"/>
        <w:rPr>
          <w:b/>
          <w:sz w:val="36"/>
          <w:szCs w:val="36"/>
        </w:rPr>
      </w:pPr>
      <w:r>
        <w:rPr>
          <w:b/>
          <w:sz w:val="36"/>
          <w:szCs w:val="36"/>
        </w:rPr>
        <w:t>AS—05 Security Awareness and Training</w:t>
      </w:r>
    </w:p>
    <w:p w:rsidR="00563D2C" w:rsidRDefault="00563D2C"/>
    <w:p w:rsidR="00563D2C" w:rsidRPr="00666BD6" w:rsidRDefault="00563D2C">
      <w:pPr>
        <w:rPr>
          <w:b/>
          <w:sz w:val="28"/>
          <w:szCs w:val="28"/>
          <w:u w:val="single"/>
        </w:rPr>
      </w:pPr>
      <w:r w:rsidRPr="00666BD6">
        <w:rPr>
          <w:b/>
          <w:sz w:val="28"/>
          <w:szCs w:val="28"/>
          <w:u w:val="single"/>
        </w:rPr>
        <w:t>Purpose</w:t>
      </w:r>
    </w:p>
    <w:p w:rsidR="00D54254" w:rsidRPr="004773C7" w:rsidRDefault="00980802" w:rsidP="00D54254">
      <w:r w:rsidRPr="004773C7">
        <w:t>To develop</w:t>
      </w:r>
      <w:r w:rsidR="00A34047" w:rsidRPr="004773C7">
        <w:t xml:space="preserve"> a security awareness and training program for all members of its workforce (including management).164.308(a</w:t>
      </w:r>
      <w:proofErr w:type="gramStart"/>
      <w:r w:rsidR="00A34047" w:rsidRPr="004773C7">
        <w:t>)(</w:t>
      </w:r>
      <w:proofErr w:type="gramEnd"/>
      <w:r w:rsidR="00A34047" w:rsidRPr="004773C7">
        <w:t>5</w:t>
      </w:r>
      <w:r w:rsidR="00D54254" w:rsidRPr="004773C7">
        <w:t>)(</w:t>
      </w:r>
      <w:proofErr w:type="spellStart"/>
      <w:r w:rsidR="00D54254" w:rsidRPr="004773C7">
        <w:t>i</w:t>
      </w:r>
      <w:proofErr w:type="spellEnd"/>
      <w:r w:rsidR="00D54254" w:rsidRPr="004773C7">
        <w:t>)</w:t>
      </w:r>
    </w:p>
    <w:p w:rsidR="0054370C" w:rsidRPr="00563D2C" w:rsidRDefault="0054370C" w:rsidP="0054370C">
      <w:pPr>
        <w:rPr>
          <w:b/>
          <w:sz w:val="28"/>
          <w:szCs w:val="28"/>
          <w:u w:val="single"/>
        </w:rPr>
      </w:pPr>
      <w:r w:rsidRPr="00563D2C">
        <w:rPr>
          <w:b/>
          <w:sz w:val="28"/>
          <w:szCs w:val="28"/>
          <w:u w:val="single"/>
        </w:rPr>
        <w:t>Guidance</w:t>
      </w:r>
    </w:p>
    <w:p w:rsidR="0054370C" w:rsidRPr="004773C7" w:rsidRDefault="0054370C" w:rsidP="00D54254">
      <w:r w:rsidRPr="004773C7">
        <w:t>Regardless of the Administrative Safeguards a covered entity implements, those s</w:t>
      </w:r>
      <w:r w:rsidR="00980802" w:rsidRPr="004773C7">
        <w:t xml:space="preserve">afeguards will not protect the </w:t>
      </w:r>
      <w:proofErr w:type="spellStart"/>
      <w:r w:rsidR="00980802" w:rsidRPr="004773C7">
        <w:t>e</w:t>
      </w:r>
      <w:r w:rsidRPr="004773C7">
        <w:t>PHI</w:t>
      </w:r>
      <w:proofErr w:type="spellEnd"/>
      <w:r w:rsidRPr="004773C7">
        <w:t xml:space="preserve"> if the workforce is unaware of its role in adhering to and enforcing them. Many security risks and vulnerabilities within covered entities are internal.  This is why the next standard, Security Awareness and Training, is so important. In addition, periodic retraining should be given whenever environmental or operational </w:t>
      </w:r>
      <w:r w:rsidR="00980802" w:rsidRPr="004773C7">
        <w:t xml:space="preserve">changes affect the security of </w:t>
      </w:r>
      <w:proofErr w:type="spellStart"/>
      <w:r w:rsidR="00980802" w:rsidRPr="004773C7">
        <w:t>e</w:t>
      </w:r>
      <w:r w:rsidRPr="004773C7">
        <w:t>PHI</w:t>
      </w:r>
      <w:proofErr w:type="spellEnd"/>
      <w:r w:rsidRPr="004773C7">
        <w:t>. Changes may include new or updated policies and procedures; new or upgraded software or hardware; new security technology; or even changes in the Security Rule.</w:t>
      </w:r>
    </w:p>
    <w:p w:rsidR="00D54254" w:rsidRPr="0054370C" w:rsidRDefault="00A34047" w:rsidP="00D54254">
      <w:pPr>
        <w:rPr>
          <w:b/>
          <w:sz w:val="28"/>
          <w:szCs w:val="28"/>
        </w:rPr>
      </w:pPr>
      <w:r w:rsidRPr="0054370C">
        <w:rPr>
          <w:b/>
          <w:sz w:val="28"/>
          <w:szCs w:val="28"/>
        </w:rPr>
        <w:t>Security Reminders</w:t>
      </w:r>
      <w:r w:rsidR="00FA0536" w:rsidRPr="0054370C">
        <w:rPr>
          <w:b/>
          <w:sz w:val="28"/>
          <w:szCs w:val="28"/>
        </w:rPr>
        <w:t xml:space="preserve"> </w:t>
      </w:r>
    </w:p>
    <w:p w:rsidR="00D54254" w:rsidRPr="004773C7" w:rsidRDefault="00677AD7" w:rsidP="00A16169">
      <w:r>
        <w:t>Implementation: To develop processes and procedures for p</w:t>
      </w:r>
      <w:r w:rsidR="0094257E" w:rsidRPr="004773C7">
        <w:t>eriodic security updates. 164.308(a</w:t>
      </w:r>
      <w:proofErr w:type="gramStart"/>
      <w:r w:rsidR="0094257E" w:rsidRPr="004773C7">
        <w:t>)(</w:t>
      </w:r>
      <w:proofErr w:type="gramEnd"/>
      <w:r w:rsidR="0094257E" w:rsidRPr="004773C7">
        <w:t>5)(ii)(A</w:t>
      </w:r>
      <w:r w:rsidR="00A16169" w:rsidRPr="004773C7">
        <w:t>)</w:t>
      </w:r>
    </w:p>
    <w:p w:rsidR="00980802" w:rsidRPr="004773C7" w:rsidRDefault="00980802" w:rsidP="00980802">
      <w:pPr>
        <w:pStyle w:val="ListParagraph"/>
        <w:numPr>
          <w:ilvl w:val="0"/>
          <w:numId w:val="18"/>
        </w:numPr>
        <w:rPr>
          <w:lang w:val="en"/>
        </w:rPr>
      </w:pPr>
      <w:r w:rsidRPr="004773C7">
        <w:rPr>
          <w:lang w:val="en"/>
        </w:rPr>
        <w:t xml:space="preserve">Establish security awareness and HIPAA training for all members of the UCSC workforce who are involved in the creation, transmission, and storage of </w:t>
      </w:r>
      <w:proofErr w:type="spellStart"/>
      <w:r w:rsidRPr="004773C7">
        <w:rPr>
          <w:lang w:val="en"/>
        </w:rPr>
        <w:t>ePHI</w:t>
      </w:r>
      <w:proofErr w:type="spellEnd"/>
      <w:r w:rsidRPr="004773C7">
        <w:rPr>
          <w:lang w:val="en"/>
        </w:rPr>
        <w:t xml:space="preserve">. Training activities include: </w:t>
      </w:r>
    </w:p>
    <w:p w:rsidR="00980802" w:rsidRPr="004773C7" w:rsidRDefault="00980802" w:rsidP="00980802">
      <w:pPr>
        <w:pStyle w:val="ListParagraph"/>
        <w:numPr>
          <w:ilvl w:val="1"/>
          <w:numId w:val="17"/>
        </w:numPr>
        <w:rPr>
          <w:lang w:val="en"/>
        </w:rPr>
      </w:pPr>
      <w:r w:rsidRPr="004773C7">
        <w:rPr>
          <w:lang w:val="en"/>
        </w:rPr>
        <w:t xml:space="preserve">Initial security awareness and HIPAA training for individuals with </w:t>
      </w:r>
      <w:proofErr w:type="spellStart"/>
      <w:r w:rsidRPr="004773C7">
        <w:rPr>
          <w:lang w:val="en"/>
        </w:rPr>
        <w:t>ePHI</w:t>
      </w:r>
      <w:proofErr w:type="spellEnd"/>
      <w:r w:rsidRPr="004773C7">
        <w:rPr>
          <w:lang w:val="en"/>
        </w:rPr>
        <w:t>-related job duties. Training will include UCSC Password Standards and the importance of protecting against malicious software and exploitation of vulnerabilities.</w:t>
      </w:r>
    </w:p>
    <w:p w:rsidR="00980802" w:rsidRPr="004773C7" w:rsidRDefault="00980802" w:rsidP="00980802">
      <w:pPr>
        <w:pStyle w:val="ListParagraph"/>
        <w:numPr>
          <w:ilvl w:val="1"/>
          <w:numId w:val="17"/>
        </w:numPr>
        <w:rPr>
          <w:lang w:val="en"/>
        </w:rPr>
      </w:pPr>
      <w:r w:rsidRPr="004773C7">
        <w:rPr>
          <w:lang w:val="en"/>
        </w:rPr>
        <w:t>Review of changes to internal policies, procedures, and technologies</w:t>
      </w:r>
    </w:p>
    <w:p w:rsidR="00980802" w:rsidRPr="004773C7" w:rsidRDefault="00980802" w:rsidP="00980802">
      <w:pPr>
        <w:pStyle w:val="ListParagraph"/>
        <w:numPr>
          <w:ilvl w:val="1"/>
          <w:numId w:val="17"/>
        </w:numPr>
        <w:rPr>
          <w:lang w:val="en"/>
        </w:rPr>
      </w:pPr>
      <w:r w:rsidRPr="004773C7">
        <w:rPr>
          <w:lang w:val="en"/>
        </w:rPr>
        <w:t>Periodic reminders about security awareness and HIPAA</w:t>
      </w:r>
    </w:p>
    <w:p w:rsidR="00980802" w:rsidRPr="004773C7" w:rsidRDefault="00980802" w:rsidP="00980802">
      <w:pPr>
        <w:pStyle w:val="ListParagraph"/>
        <w:numPr>
          <w:ilvl w:val="1"/>
          <w:numId w:val="17"/>
        </w:numPr>
        <w:rPr>
          <w:lang w:val="en"/>
        </w:rPr>
      </w:pPr>
      <w:r w:rsidRPr="004773C7">
        <w:rPr>
          <w:lang w:val="en"/>
        </w:rPr>
        <w:t>Security notices or updates regarding current threats</w:t>
      </w:r>
    </w:p>
    <w:p w:rsidR="00980802" w:rsidRPr="004773C7" w:rsidRDefault="00980802" w:rsidP="00980802">
      <w:pPr>
        <w:pStyle w:val="ListParagraph"/>
        <w:numPr>
          <w:ilvl w:val="0"/>
          <w:numId w:val="17"/>
        </w:numPr>
        <w:rPr>
          <w:lang w:val="en"/>
        </w:rPr>
      </w:pPr>
      <w:r w:rsidRPr="004773C7">
        <w:rPr>
          <w:lang w:val="en"/>
        </w:rPr>
        <w:t>HIPAA entities must maintain records of training materials and completion of training for six years.</w:t>
      </w:r>
    </w:p>
    <w:p w:rsidR="00D54254" w:rsidRPr="0054370C" w:rsidRDefault="0094257E" w:rsidP="00D54254">
      <w:pPr>
        <w:rPr>
          <w:b/>
          <w:sz w:val="28"/>
          <w:szCs w:val="28"/>
        </w:rPr>
      </w:pPr>
      <w:r w:rsidRPr="0054370C">
        <w:rPr>
          <w:b/>
          <w:sz w:val="28"/>
          <w:szCs w:val="28"/>
        </w:rPr>
        <w:t>Protection from Malicious Software</w:t>
      </w:r>
      <w:r w:rsidR="00FA0536" w:rsidRPr="0054370C">
        <w:rPr>
          <w:b/>
          <w:sz w:val="28"/>
          <w:szCs w:val="28"/>
        </w:rPr>
        <w:t xml:space="preserve"> </w:t>
      </w:r>
    </w:p>
    <w:p w:rsidR="00D54254" w:rsidRPr="004773C7" w:rsidRDefault="00677AD7" w:rsidP="00C31349">
      <w:r>
        <w:t>Implementation: Develop p</w:t>
      </w:r>
      <w:r w:rsidR="0094257E" w:rsidRPr="004773C7">
        <w:t>rocedures for guarding against, detecting, and reporting malicious software. 164.308(a</w:t>
      </w:r>
      <w:proofErr w:type="gramStart"/>
      <w:r w:rsidR="0094257E" w:rsidRPr="004773C7">
        <w:t>)(</w:t>
      </w:r>
      <w:proofErr w:type="gramEnd"/>
      <w:r w:rsidR="0094257E" w:rsidRPr="004773C7">
        <w:t>5)(ii)(B</w:t>
      </w:r>
      <w:r w:rsidR="00C31349" w:rsidRPr="004773C7">
        <w:t>)</w:t>
      </w:r>
    </w:p>
    <w:p w:rsidR="0094257E" w:rsidRPr="004773C7" w:rsidRDefault="0094257E" w:rsidP="0094257E">
      <w:r w:rsidRPr="004773C7">
        <w:t xml:space="preserve">To protect all devices against malicious software, such as computer viruses, Trojan horses, spyware, etc., implement the following. Also ensure the safeguards and configurations below are included in the standard set-up procedures for new systems and workstations that contain or access </w:t>
      </w:r>
      <w:proofErr w:type="spellStart"/>
      <w:r w:rsidRPr="004773C7">
        <w:t>ePHI</w:t>
      </w:r>
      <w:proofErr w:type="spellEnd"/>
      <w:r w:rsidRPr="004773C7">
        <w:t>.</w:t>
      </w:r>
    </w:p>
    <w:p w:rsidR="00980802" w:rsidRPr="004773C7" w:rsidRDefault="00980802" w:rsidP="00980802">
      <w:pPr>
        <w:pStyle w:val="NormalWeb"/>
        <w:numPr>
          <w:ilvl w:val="0"/>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Run versions of operating system and application software for which security patches are made available and installed in a timely manner.</w:t>
      </w:r>
    </w:p>
    <w:p w:rsidR="00980802" w:rsidRPr="004773C7" w:rsidRDefault="00980802" w:rsidP="00980802">
      <w:pPr>
        <w:pStyle w:val="NormalWeb"/>
        <w:numPr>
          <w:ilvl w:val="0"/>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 xml:space="preserve">Harden systems. “Hardening” includes: </w:t>
      </w:r>
    </w:p>
    <w:p w:rsidR="00980802" w:rsidRPr="004773C7" w:rsidRDefault="00980802" w:rsidP="00980802">
      <w:pPr>
        <w:pStyle w:val="NormalWeb"/>
        <w:numPr>
          <w:ilvl w:val="1"/>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Install OS and third party application updates (patches) and keep them current</w:t>
      </w:r>
    </w:p>
    <w:p w:rsidR="00980802" w:rsidRPr="004773C7" w:rsidRDefault="00980802" w:rsidP="00980802">
      <w:pPr>
        <w:pStyle w:val="NormalWeb"/>
        <w:numPr>
          <w:ilvl w:val="1"/>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Change or remove default logins/passwords</w:t>
      </w:r>
    </w:p>
    <w:p w:rsidR="00980802" w:rsidRPr="004773C7" w:rsidRDefault="00980802" w:rsidP="00980802">
      <w:pPr>
        <w:pStyle w:val="NormalWeb"/>
        <w:numPr>
          <w:ilvl w:val="1"/>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Disable unnecessary services</w:t>
      </w:r>
    </w:p>
    <w:p w:rsidR="00980802" w:rsidRPr="004773C7" w:rsidRDefault="00980802" w:rsidP="00980802">
      <w:pPr>
        <w:pStyle w:val="NormalWeb"/>
        <w:numPr>
          <w:ilvl w:val="1"/>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Install virus and malware protection software and update them at least weekly</w:t>
      </w:r>
    </w:p>
    <w:p w:rsidR="00980802" w:rsidRPr="004773C7" w:rsidRDefault="00980802" w:rsidP="00980802">
      <w:pPr>
        <w:pStyle w:val="NormalWeb"/>
        <w:numPr>
          <w:ilvl w:val="1"/>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Set proper file/directory ownership/permissions; NTFS should be used on Windows servers and shared workstations</w:t>
      </w:r>
    </w:p>
    <w:p w:rsidR="00980802" w:rsidRPr="00487244" w:rsidRDefault="00980802" w:rsidP="00980802">
      <w:pPr>
        <w:pStyle w:val="NormalWeb"/>
        <w:numPr>
          <w:ilvl w:val="0"/>
          <w:numId w:val="19"/>
        </w:numPr>
        <w:rPr>
          <w:rFonts w:asciiTheme="minorHAnsi" w:hAnsiTheme="minorHAnsi" w:cstheme="minorHAnsi"/>
          <w:sz w:val="22"/>
          <w:szCs w:val="22"/>
          <w:lang w:val="en"/>
        </w:rPr>
      </w:pPr>
      <w:r w:rsidRPr="00487244">
        <w:rPr>
          <w:rFonts w:asciiTheme="minorHAnsi" w:hAnsiTheme="minorHAnsi" w:cstheme="minorHAnsi"/>
          <w:sz w:val="22"/>
          <w:szCs w:val="22"/>
          <w:lang w:val="en"/>
        </w:rPr>
        <w:lastRenderedPageBreak/>
        <w:t>Periodically, and at least annually, review HIPAA workstation browser settings to e</w:t>
      </w:r>
      <w:r w:rsidR="00487244">
        <w:rPr>
          <w:rFonts w:asciiTheme="minorHAnsi" w:hAnsiTheme="minorHAnsi" w:cstheme="minorHAnsi"/>
          <w:sz w:val="22"/>
          <w:szCs w:val="22"/>
          <w:lang w:val="en"/>
        </w:rPr>
        <w:t>nsure that they comply with the</w:t>
      </w:r>
      <w:r w:rsidRPr="00487244">
        <w:rPr>
          <w:rFonts w:asciiTheme="minorHAnsi" w:hAnsiTheme="minorHAnsi" w:cstheme="minorHAnsi"/>
          <w:sz w:val="22"/>
          <w:szCs w:val="22"/>
          <w:lang w:val="en"/>
        </w:rPr>
        <w:t xml:space="preserve"> recommended browser security settings: </w:t>
      </w:r>
      <w:hyperlink r:id="rId5" w:anchor="how_to_secure" w:history="1">
        <w:r w:rsidR="00487244" w:rsidRPr="00487244">
          <w:rPr>
            <w:rFonts w:asciiTheme="minorHAnsi" w:eastAsiaTheme="minorHAnsi" w:hAnsiTheme="minorHAnsi" w:cstheme="minorBidi"/>
            <w:color w:val="0000FF"/>
            <w:sz w:val="22"/>
            <w:szCs w:val="22"/>
            <w:u w:val="single"/>
          </w:rPr>
          <w:t>https://www.us-cert.gov/publications/securing-your-web-browser#how_to_secure</w:t>
        </w:r>
      </w:hyperlink>
      <w:r w:rsidRPr="00487244">
        <w:rPr>
          <w:rFonts w:asciiTheme="minorHAnsi" w:hAnsiTheme="minorHAnsi" w:cstheme="minorHAnsi"/>
          <w:sz w:val="22"/>
          <w:szCs w:val="22"/>
          <w:lang w:val="en"/>
        </w:rPr>
        <w:t>.</w:t>
      </w:r>
    </w:p>
    <w:p w:rsidR="00980802" w:rsidRPr="002E2FFE" w:rsidRDefault="00980802" w:rsidP="00980802">
      <w:pPr>
        <w:pStyle w:val="NormalWeb"/>
        <w:numPr>
          <w:ilvl w:val="0"/>
          <w:numId w:val="19"/>
        </w:numPr>
        <w:rPr>
          <w:rFonts w:asciiTheme="minorHAnsi" w:hAnsiTheme="minorHAnsi" w:cstheme="minorHAnsi"/>
          <w:sz w:val="22"/>
          <w:szCs w:val="22"/>
          <w:lang w:val="en"/>
        </w:rPr>
      </w:pPr>
      <w:r w:rsidRPr="002E2FFE">
        <w:rPr>
          <w:rFonts w:asciiTheme="minorHAnsi" w:hAnsiTheme="minorHAnsi" w:cstheme="minorHAnsi"/>
          <w:sz w:val="22"/>
          <w:szCs w:val="22"/>
          <w:lang w:val="en"/>
        </w:rPr>
        <w:t xml:space="preserve">Periodically, and at least annually, review email client settings to ensure they comply with current ITS recommendations for email client settings: </w:t>
      </w:r>
      <w:hyperlink r:id="rId6" w:history="1">
        <w:r w:rsidR="002E2FFE" w:rsidRPr="002E2FFE">
          <w:rPr>
            <w:rStyle w:val="Hyperlink"/>
            <w:rFonts w:asciiTheme="minorHAnsi" w:hAnsiTheme="minorHAnsi" w:cstheme="minorHAnsi"/>
            <w:sz w:val="22"/>
            <w:szCs w:val="22"/>
          </w:rPr>
          <w:t>http://louisville.edu/email/cardmail-faqs</w:t>
        </w:r>
      </w:hyperlink>
    </w:p>
    <w:p w:rsidR="00980802" w:rsidRPr="004773C7" w:rsidRDefault="00980802" w:rsidP="00980802">
      <w:pPr>
        <w:pStyle w:val="NormalWeb"/>
        <w:numPr>
          <w:ilvl w:val="0"/>
          <w:numId w:val="19"/>
        </w:numPr>
        <w:rPr>
          <w:rFonts w:asciiTheme="minorHAnsi" w:hAnsiTheme="minorHAnsi" w:cstheme="minorHAnsi"/>
          <w:sz w:val="22"/>
          <w:szCs w:val="22"/>
          <w:highlight w:val="yellow"/>
          <w:lang w:val="en"/>
        </w:rPr>
      </w:pPr>
      <w:r w:rsidRPr="004773C7">
        <w:rPr>
          <w:rFonts w:asciiTheme="minorHAnsi" w:hAnsiTheme="minorHAnsi" w:cstheme="minorHAnsi"/>
          <w:sz w:val="22"/>
          <w:szCs w:val="22"/>
          <w:highlight w:val="yellow"/>
          <w:lang w:val="en"/>
        </w:rPr>
        <w:t xml:space="preserve">Perform periodic network vulnerability scans of systems containing known </w:t>
      </w:r>
      <w:proofErr w:type="spellStart"/>
      <w:r w:rsidRPr="004773C7">
        <w:rPr>
          <w:rFonts w:asciiTheme="minorHAnsi" w:hAnsiTheme="minorHAnsi" w:cstheme="minorHAnsi"/>
          <w:sz w:val="22"/>
          <w:szCs w:val="22"/>
          <w:highlight w:val="yellow"/>
          <w:lang w:val="en"/>
        </w:rPr>
        <w:t>ePHI</w:t>
      </w:r>
      <w:proofErr w:type="spellEnd"/>
      <w:r w:rsidRPr="004773C7">
        <w:rPr>
          <w:rFonts w:asciiTheme="minorHAnsi" w:hAnsiTheme="minorHAnsi" w:cstheme="minorHAnsi"/>
          <w:sz w:val="22"/>
          <w:szCs w:val="22"/>
          <w:highlight w:val="yellow"/>
          <w:lang w:val="en"/>
        </w:rPr>
        <w:t xml:space="preserve">, and workstations that access </w:t>
      </w:r>
      <w:proofErr w:type="spellStart"/>
      <w:r w:rsidRPr="004773C7">
        <w:rPr>
          <w:rFonts w:asciiTheme="minorHAnsi" w:hAnsiTheme="minorHAnsi" w:cstheme="minorHAnsi"/>
          <w:sz w:val="22"/>
          <w:szCs w:val="22"/>
          <w:highlight w:val="yellow"/>
          <w:lang w:val="en"/>
        </w:rPr>
        <w:t>ePHI</w:t>
      </w:r>
      <w:proofErr w:type="spellEnd"/>
      <w:r w:rsidRPr="004773C7">
        <w:rPr>
          <w:rFonts w:asciiTheme="minorHAnsi" w:hAnsiTheme="minorHAnsi" w:cstheme="minorHAnsi"/>
          <w:sz w:val="22"/>
          <w:szCs w:val="22"/>
          <w:highlight w:val="yellow"/>
          <w:lang w:val="en"/>
        </w:rPr>
        <w:t>, and take adequate steps to correct discovered vulnerabilities.</w:t>
      </w:r>
    </w:p>
    <w:p w:rsidR="00980802" w:rsidRPr="004773C7" w:rsidRDefault="00980802" w:rsidP="00980802">
      <w:pPr>
        <w:pStyle w:val="NormalWeb"/>
        <w:numPr>
          <w:ilvl w:val="0"/>
          <w:numId w:val="19"/>
        </w:numPr>
        <w:rPr>
          <w:rFonts w:asciiTheme="minorHAnsi" w:hAnsiTheme="minorHAnsi" w:cstheme="minorHAnsi"/>
          <w:sz w:val="22"/>
          <w:szCs w:val="22"/>
          <w:lang w:val="en"/>
        </w:rPr>
      </w:pPr>
      <w:r w:rsidRPr="004773C7">
        <w:rPr>
          <w:rFonts w:asciiTheme="minorHAnsi" w:hAnsiTheme="minorHAnsi" w:cstheme="minorHAnsi"/>
          <w:sz w:val="22"/>
          <w:szCs w:val="22"/>
          <w:highlight w:val="yellow"/>
          <w:lang w:val="en"/>
        </w:rPr>
        <w:t>Implement e-mail malicious code filtering</w:t>
      </w:r>
      <w:r w:rsidRPr="004773C7">
        <w:rPr>
          <w:rFonts w:asciiTheme="minorHAnsi" w:hAnsiTheme="minorHAnsi" w:cstheme="minorHAnsi"/>
          <w:sz w:val="22"/>
          <w:szCs w:val="22"/>
          <w:lang w:val="en"/>
        </w:rPr>
        <w:t>.</w:t>
      </w:r>
    </w:p>
    <w:p w:rsidR="00980802" w:rsidRPr="004773C7" w:rsidRDefault="00980802" w:rsidP="00980802">
      <w:pPr>
        <w:pStyle w:val="NormalWeb"/>
        <w:numPr>
          <w:ilvl w:val="0"/>
          <w:numId w:val="19"/>
        </w:numPr>
        <w:rPr>
          <w:rFonts w:asciiTheme="minorHAnsi" w:hAnsiTheme="minorHAnsi" w:cstheme="minorHAnsi"/>
          <w:sz w:val="22"/>
          <w:szCs w:val="22"/>
          <w:lang w:val="en"/>
        </w:rPr>
      </w:pPr>
      <w:r w:rsidRPr="004773C7">
        <w:rPr>
          <w:rFonts w:asciiTheme="minorHAnsi" w:hAnsiTheme="minorHAnsi" w:cstheme="minorHAnsi"/>
          <w:sz w:val="22"/>
          <w:szCs w:val="22"/>
          <w:lang w:val="en"/>
        </w:rPr>
        <w:t xml:space="preserve">Install/enable </w:t>
      </w:r>
      <w:r w:rsidR="00D77957" w:rsidRPr="004773C7">
        <w:rPr>
          <w:rFonts w:asciiTheme="minorHAnsi" w:hAnsiTheme="minorHAnsi" w:cstheme="minorHAnsi"/>
          <w:sz w:val="22"/>
          <w:szCs w:val="22"/>
          <w:highlight w:val="yellow"/>
          <w:lang w:val="en"/>
        </w:rPr>
        <w:t>desktop</w:t>
      </w:r>
      <w:r w:rsidR="00D77957" w:rsidRPr="004773C7">
        <w:rPr>
          <w:rFonts w:asciiTheme="minorHAnsi" w:hAnsiTheme="minorHAnsi" w:cstheme="minorHAnsi"/>
          <w:sz w:val="22"/>
          <w:szCs w:val="22"/>
          <w:lang w:val="en"/>
        </w:rPr>
        <w:t xml:space="preserve"> </w:t>
      </w:r>
      <w:r w:rsidRPr="004773C7">
        <w:rPr>
          <w:rFonts w:asciiTheme="minorHAnsi" w:hAnsiTheme="minorHAnsi" w:cstheme="minorHAnsi"/>
          <w:sz w:val="22"/>
          <w:szCs w:val="22"/>
          <w:lang w:val="en"/>
        </w:rPr>
        <w:t>firewalls (hardware and/or software) to reduce threat of unauthorized remote access.</w:t>
      </w:r>
    </w:p>
    <w:p w:rsidR="00980802" w:rsidRPr="004773C7" w:rsidRDefault="00980802" w:rsidP="00980802">
      <w:pPr>
        <w:pStyle w:val="NormalWeb"/>
        <w:numPr>
          <w:ilvl w:val="0"/>
          <w:numId w:val="19"/>
        </w:numPr>
        <w:rPr>
          <w:rFonts w:asciiTheme="minorHAnsi" w:hAnsiTheme="minorHAnsi" w:cstheme="minorHAnsi"/>
          <w:sz w:val="22"/>
          <w:szCs w:val="22"/>
          <w:highlight w:val="yellow"/>
          <w:lang w:val="en"/>
        </w:rPr>
      </w:pPr>
      <w:r w:rsidRPr="004773C7">
        <w:rPr>
          <w:rFonts w:asciiTheme="minorHAnsi" w:hAnsiTheme="minorHAnsi" w:cstheme="minorHAnsi"/>
          <w:sz w:val="22"/>
          <w:szCs w:val="22"/>
          <w:highlight w:val="yellow"/>
          <w:lang w:val="en"/>
        </w:rPr>
        <w:t>Intrusion detection software and/or systems may also be installed to detect threat of unauthorized remote access.</w:t>
      </w:r>
    </w:p>
    <w:p w:rsidR="00FA0536" w:rsidRPr="0054370C" w:rsidRDefault="0054370C" w:rsidP="00FA0536">
      <w:pPr>
        <w:pStyle w:val="NormalWeb"/>
        <w:rPr>
          <w:rFonts w:asciiTheme="minorHAnsi" w:hAnsiTheme="minorHAnsi" w:cstheme="minorHAnsi"/>
          <w:sz w:val="28"/>
          <w:szCs w:val="28"/>
        </w:rPr>
      </w:pPr>
      <w:r w:rsidRPr="0054370C">
        <w:rPr>
          <w:rStyle w:val="Strong"/>
          <w:rFonts w:asciiTheme="minorHAnsi" w:hAnsiTheme="minorHAnsi" w:cstheme="minorHAnsi"/>
          <w:sz w:val="28"/>
          <w:szCs w:val="28"/>
        </w:rPr>
        <w:t>Login</w:t>
      </w:r>
      <w:r w:rsidR="00FA0536" w:rsidRPr="0054370C">
        <w:rPr>
          <w:rStyle w:val="Strong"/>
          <w:rFonts w:asciiTheme="minorHAnsi" w:hAnsiTheme="minorHAnsi" w:cstheme="minorHAnsi"/>
          <w:sz w:val="28"/>
          <w:szCs w:val="28"/>
        </w:rPr>
        <w:t xml:space="preserve"> monitoring </w:t>
      </w:r>
    </w:p>
    <w:p w:rsidR="00FA0536" w:rsidRPr="004773C7" w:rsidRDefault="00677AD7" w:rsidP="00FA0536">
      <w:pPr>
        <w:pStyle w:val="NormalWeb"/>
        <w:rPr>
          <w:rFonts w:asciiTheme="minorHAnsi" w:hAnsiTheme="minorHAnsi" w:cstheme="minorHAnsi"/>
          <w:sz w:val="22"/>
          <w:szCs w:val="22"/>
        </w:rPr>
      </w:pPr>
      <w:r>
        <w:rPr>
          <w:rFonts w:asciiTheme="minorHAnsi" w:hAnsiTheme="minorHAnsi" w:cstheme="minorHAnsi"/>
          <w:sz w:val="22"/>
          <w:szCs w:val="22"/>
        </w:rPr>
        <w:t>Implementation: To develop p</w:t>
      </w:r>
      <w:r w:rsidR="00FA0536" w:rsidRPr="004773C7">
        <w:rPr>
          <w:rFonts w:asciiTheme="minorHAnsi" w:hAnsiTheme="minorHAnsi" w:cstheme="minorHAnsi"/>
          <w:sz w:val="22"/>
          <w:szCs w:val="22"/>
        </w:rPr>
        <w:t xml:space="preserve">rocedures for monitoring </w:t>
      </w:r>
      <w:r w:rsidR="0054370C" w:rsidRPr="004773C7">
        <w:rPr>
          <w:rFonts w:asciiTheme="minorHAnsi" w:hAnsiTheme="minorHAnsi" w:cstheme="minorHAnsi"/>
          <w:sz w:val="22"/>
          <w:szCs w:val="22"/>
        </w:rPr>
        <w:t>login</w:t>
      </w:r>
      <w:r w:rsidR="00FA0536" w:rsidRPr="004773C7">
        <w:rPr>
          <w:rFonts w:asciiTheme="minorHAnsi" w:hAnsiTheme="minorHAnsi" w:cstheme="minorHAnsi"/>
          <w:sz w:val="22"/>
          <w:szCs w:val="22"/>
        </w:rPr>
        <w:t xml:space="preserve"> attempts and reporting discrepancies. </w:t>
      </w:r>
      <w:r w:rsidR="00FA0536" w:rsidRPr="004773C7">
        <w:rPr>
          <w:rStyle w:val="Strong"/>
          <w:rFonts w:asciiTheme="minorHAnsi" w:hAnsiTheme="minorHAnsi" w:cstheme="minorHAnsi"/>
          <w:b w:val="0"/>
          <w:sz w:val="22"/>
          <w:szCs w:val="22"/>
        </w:rPr>
        <w:t>164.308(a</w:t>
      </w:r>
      <w:proofErr w:type="gramStart"/>
      <w:r w:rsidR="00FA0536" w:rsidRPr="004773C7">
        <w:rPr>
          <w:rStyle w:val="Strong"/>
          <w:rFonts w:asciiTheme="minorHAnsi" w:hAnsiTheme="minorHAnsi" w:cstheme="minorHAnsi"/>
          <w:b w:val="0"/>
          <w:sz w:val="22"/>
          <w:szCs w:val="22"/>
        </w:rPr>
        <w:t>)(</w:t>
      </w:r>
      <w:proofErr w:type="gramEnd"/>
      <w:r w:rsidR="00FA0536" w:rsidRPr="004773C7">
        <w:rPr>
          <w:rStyle w:val="Strong"/>
          <w:rFonts w:asciiTheme="minorHAnsi" w:hAnsiTheme="minorHAnsi" w:cstheme="minorHAnsi"/>
          <w:b w:val="0"/>
          <w:sz w:val="22"/>
          <w:szCs w:val="22"/>
        </w:rPr>
        <w:t>5)(ii)(C)</w:t>
      </w:r>
    </w:p>
    <w:p w:rsidR="00C256C6" w:rsidRPr="004773C7" w:rsidRDefault="00C256C6" w:rsidP="00C256C6">
      <w:pPr>
        <w:pStyle w:val="NoSpacing"/>
        <w:numPr>
          <w:ilvl w:val="0"/>
          <w:numId w:val="21"/>
        </w:numPr>
        <w:tabs>
          <w:tab w:val="left" w:pos="720"/>
          <w:tab w:val="left" w:pos="900"/>
        </w:tabs>
        <w:ind w:left="720"/>
        <w:rPr>
          <w:highlight w:val="yellow"/>
        </w:rPr>
      </w:pPr>
      <w:r w:rsidRPr="004773C7">
        <w:rPr>
          <w:highlight w:val="yellow"/>
        </w:rPr>
        <w:t>Implement policies and procedures to regularly review records of information system activity, such as audit logs, access reports, and security incident tracking reports</w:t>
      </w:r>
    </w:p>
    <w:p w:rsidR="00C256C6" w:rsidRPr="004773C7" w:rsidRDefault="00C256C6" w:rsidP="00C256C6">
      <w:pPr>
        <w:pStyle w:val="NoSpacing"/>
        <w:numPr>
          <w:ilvl w:val="0"/>
          <w:numId w:val="20"/>
        </w:numPr>
        <w:ind w:left="1080"/>
        <w:rPr>
          <w:highlight w:val="yellow"/>
        </w:rPr>
      </w:pPr>
      <w:r w:rsidRPr="004773C7">
        <w:rPr>
          <w:highlight w:val="yellow"/>
        </w:rPr>
        <w:t>Regularly review information system activity and log-in attempts</w:t>
      </w:r>
    </w:p>
    <w:p w:rsidR="00C256C6" w:rsidRPr="004773C7" w:rsidRDefault="00C256C6" w:rsidP="00C256C6">
      <w:pPr>
        <w:pStyle w:val="NoSpacing"/>
        <w:numPr>
          <w:ilvl w:val="1"/>
          <w:numId w:val="20"/>
        </w:numPr>
        <w:tabs>
          <w:tab w:val="left" w:pos="1890"/>
          <w:tab w:val="left" w:pos="2340"/>
        </w:tabs>
        <w:ind w:left="1440"/>
        <w:rPr>
          <w:highlight w:val="yellow"/>
        </w:rPr>
      </w:pPr>
      <w:r w:rsidRPr="004773C7">
        <w:rPr>
          <w:highlight w:val="yellow"/>
        </w:rPr>
        <w:t>Log Procedures</w:t>
      </w:r>
    </w:p>
    <w:p w:rsidR="00C256C6" w:rsidRPr="004773C7" w:rsidRDefault="00C256C6" w:rsidP="00C256C6">
      <w:pPr>
        <w:pStyle w:val="NoSpacing"/>
        <w:numPr>
          <w:ilvl w:val="2"/>
          <w:numId w:val="20"/>
        </w:numPr>
        <w:ind w:left="1800"/>
        <w:rPr>
          <w:highlight w:val="yellow"/>
        </w:rPr>
      </w:pPr>
      <w:r w:rsidRPr="004773C7">
        <w:rPr>
          <w:highlight w:val="yellow"/>
        </w:rPr>
        <w:t>Enabled at the OS, application/database and system/workstation level</w:t>
      </w:r>
    </w:p>
    <w:p w:rsidR="00C256C6" w:rsidRPr="004773C7" w:rsidRDefault="00C256C6" w:rsidP="00C256C6">
      <w:pPr>
        <w:pStyle w:val="NoSpacing"/>
        <w:numPr>
          <w:ilvl w:val="3"/>
          <w:numId w:val="20"/>
        </w:numPr>
        <w:ind w:left="2160"/>
        <w:rPr>
          <w:highlight w:val="yellow"/>
        </w:rPr>
      </w:pPr>
      <w:r w:rsidRPr="004773C7">
        <w:rPr>
          <w:highlight w:val="yellow"/>
        </w:rPr>
        <w:t>Failed and successful logins</w:t>
      </w:r>
    </w:p>
    <w:p w:rsidR="00C256C6" w:rsidRPr="004773C7" w:rsidRDefault="00C256C6" w:rsidP="00C256C6">
      <w:pPr>
        <w:pStyle w:val="NoSpacing"/>
        <w:numPr>
          <w:ilvl w:val="3"/>
          <w:numId w:val="20"/>
        </w:numPr>
        <w:ind w:left="2160"/>
        <w:rPr>
          <w:highlight w:val="yellow"/>
        </w:rPr>
      </w:pPr>
      <w:r w:rsidRPr="004773C7">
        <w:rPr>
          <w:highlight w:val="yellow"/>
        </w:rPr>
        <w:t>Modification of security settings</w:t>
      </w:r>
    </w:p>
    <w:p w:rsidR="00C256C6" w:rsidRPr="004773C7" w:rsidRDefault="00C256C6" w:rsidP="00C256C6">
      <w:pPr>
        <w:pStyle w:val="NoSpacing"/>
        <w:numPr>
          <w:ilvl w:val="3"/>
          <w:numId w:val="20"/>
        </w:numPr>
        <w:ind w:left="2160"/>
        <w:rPr>
          <w:highlight w:val="yellow"/>
        </w:rPr>
      </w:pPr>
      <w:r w:rsidRPr="004773C7">
        <w:rPr>
          <w:highlight w:val="yellow"/>
        </w:rPr>
        <w:t>Privileged use or escalation of privileges</w:t>
      </w:r>
    </w:p>
    <w:p w:rsidR="00C256C6" w:rsidRPr="004773C7" w:rsidRDefault="00C256C6" w:rsidP="00C256C6">
      <w:pPr>
        <w:pStyle w:val="NoSpacing"/>
        <w:numPr>
          <w:ilvl w:val="3"/>
          <w:numId w:val="20"/>
        </w:numPr>
        <w:ind w:left="2160"/>
        <w:rPr>
          <w:highlight w:val="yellow"/>
        </w:rPr>
      </w:pPr>
      <w:r w:rsidRPr="004773C7">
        <w:rPr>
          <w:highlight w:val="yellow"/>
        </w:rPr>
        <w:t>System events</w:t>
      </w:r>
    </w:p>
    <w:p w:rsidR="00C256C6" w:rsidRPr="004773C7" w:rsidRDefault="00C256C6" w:rsidP="00C256C6">
      <w:pPr>
        <w:pStyle w:val="NoSpacing"/>
        <w:numPr>
          <w:ilvl w:val="3"/>
          <w:numId w:val="20"/>
        </w:numPr>
        <w:ind w:left="2160"/>
        <w:rPr>
          <w:highlight w:val="yellow"/>
        </w:rPr>
      </w:pPr>
      <w:r w:rsidRPr="004773C7">
        <w:rPr>
          <w:highlight w:val="yellow"/>
        </w:rPr>
        <w:t>Modification of system-level objects</w:t>
      </w:r>
    </w:p>
    <w:p w:rsidR="00C256C6" w:rsidRPr="004773C7" w:rsidRDefault="00C256C6" w:rsidP="00C256C6">
      <w:pPr>
        <w:pStyle w:val="NoSpacing"/>
        <w:numPr>
          <w:ilvl w:val="3"/>
          <w:numId w:val="20"/>
        </w:numPr>
        <w:ind w:left="2160"/>
        <w:rPr>
          <w:highlight w:val="yellow"/>
        </w:rPr>
      </w:pPr>
      <w:r w:rsidRPr="004773C7">
        <w:rPr>
          <w:highlight w:val="yellow"/>
        </w:rPr>
        <w:t>Session activity</w:t>
      </w:r>
    </w:p>
    <w:p w:rsidR="00C256C6" w:rsidRPr="004773C7" w:rsidRDefault="00C256C6" w:rsidP="00C256C6">
      <w:pPr>
        <w:pStyle w:val="NoSpacing"/>
        <w:numPr>
          <w:ilvl w:val="3"/>
          <w:numId w:val="20"/>
        </w:numPr>
        <w:ind w:left="2160"/>
        <w:rPr>
          <w:highlight w:val="yellow"/>
        </w:rPr>
      </w:pPr>
      <w:r w:rsidRPr="004773C7">
        <w:rPr>
          <w:highlight w:val="yellow"/>
        </w:rPr>
        <w:t>Account management activities including password changes</w:t>
      </w:r>
    </w:p>
    <w:p w:rsidR="00C256C6" w:rsidRPr="004773C7" w:rsidRDefault="00C256C6" w:rsidP="00C256C6">
      <w:pPr>
        <w:pStyle w:val="NoSpacing"/>
        <w:numPr>
          <w:ilvl w:val="3"/>
          <w:numId w:val="20"/>
        </w:numPr>
        <w:ind w:left="2160"/>
        <w:rPr>
          <w:highlight w:val="yellow"/>
        </w:rPr>
      </w:pPr>
      <w:r w:rsidRPr="004773C7">
        <w:rPr>
          <w:highlight w:val="yellow"/>
        </w:rPr>
        <w:t>Policy change</w:t>
      </w:r>
    </w:p>
    <w:p w:rsidR="00C256C6" w:rsidRPr="004773C7" w:rsidRDefault="00C256C6" w:rsidP="00C256C6">
      <w:pPr>
        <w:pStyle w:val="NoSpacing"/>
        <w:numPr>
          <w:ilvl w:val="3"/>
          <w:numId w:val="20"/>
        </w:numPr>
        <w:ind w:left="2160"/>
        <w:rPr>
          <w:highlight w:val="yellow"/>
        </w:rPr>
      </w:pPr>
      <w:r w:rsidRPr="004773C7">
        <w:rPr>
          <w:highlight w:val="yellow"/>
        </w:rPr>
        <w:t>Workstation firewalls</w:t>
      </w:r>
    </w:p>
    <w:p w:rsidR="00C256C6" w:rsidRPr="004773C7" w:rsidRDefault="00C256C6" w:rsidP="00C256C6">
      <w:pPr>
        <w:pStyle w:val="NoSpacing"/>
        <w:numPr>
          <w:ilvl w:val="3"/>
          <w:numId w:val="20"/>
        </w:numPr>
        <w:ind w:left="2160"/>
        <w:rPr>
          <w:highlight w:val="yellow"/>
        </w:rPr>
      </w:pPr>
      <w:r w:rsidRPr="004773C7">
        <w:rPr>
          <w:highlight w:val="yellow"/>
        </w:rPr>
        <w:t>Anti-virus/anti-malware product</w:t>
      </w:r>
    </w:p>
    <w:p w:rsidR="00C256C6" w:rsidRPr="004773C7" w:rsidRDefault="00C256C6" w:rsidP="00C256C6">
      <w:pPr>
        <w:pStyle w:val="NoSpacing"/>
        <w:numPr>
          <w:ilvl w:val="3"/>
          <w:numId w:val="20"/>
        </w:numPr>
        <w:ind w:left="2160"/>
        <w:rPr>
          <w:highlight w:val="yellow"/>
        </w:rPr>
      </w:pPr>
      <w:r w:rsidRPr="004773C7">
        <w:rPr>
          <w:highlight w:val="yellow"/>
        </w:rPr>
        <w:t>Applications such as web servers</w:t>
      </w:r>
    </w:p>
    <w:p w:rsidR="00C256C6" w:rsidRPr="004773C7" w:rsidRDefault="00C256C6" w:rsidP="004773C7">
      <w:pPr>
        <w:pStyle w:val="NoSpacing"/>
        <w:numPr>
          <w:ilvl w:val="2"/>
          <w:numId w:val="20"/>
        </w:numPr>
        <w:ind w:left="2160"/>
        <w:rPr>
          <w:highlight w:val="yellow"/>
        </w:rPr>
      </w:pPr>
      <w:r w:rsidRPr="004773C7">
        <w:rPr>
          <w:highlight w:val="yellow"/>
        </w:rPr>
        <w:t>Captured information for the above items as feasible</w:t>
      </w:r>
    </w:p>
    <w:p w:rsidR="00C256C6" w:rsidRPr="004773C7" w:rsidRDefault="00C256C6" w:rsidP="00C256C6">
      <w:pPr>
        <w:pStyle w:val="NoSpacing"/>
        <w:numPr>
          <w:ilvl w:val="3"/>
          <w:numId w:val="20"/>
        </w:numPr>
        <w:ind w:left="2160"/>
        <w:rPr>
          <w:highlight w:val="yellow"/>
        </w:rPr>
      </w:pPr>
      <w:r w:rsidRPr="004773C7">
        <w:rPr>
          <w:highlight w:val="yellow"/>
        </w:rPr>
        <w:t>Date and time of activity</w:t>
      </w:r>
    </w:p>
    <w:p w:rsidR="00C256C6" w:rsidRPr="004773C7" w:rsidRDefault="00C256C6" w:rsidP="00C256C6">
      <w:pPr>
        <w:pStyle w:val="NoSpacing"/>
        <w:numPr>
          <w:ilvl w:val="3"/>
          <w:numId w:val="20"/>
        </w:numPr>
        <w:ind w:left="2160"/>
        <w:rPr>
          <w:highlight w:val="yellow"/>
        </w:rPr>
      </w:pPr>
      <w:r w:rsidRPr="004773C7">
        <w:rPr>
          <w:highlight w:val="yellow"/>
        </w:rPr>
        <w:t>IP address for connection logs</w:t>
      </w:r>
    </w:p>
    <w:p w:rsidR="00C256C6" w:rsidRPr="004773C7" w:rsidRDefault="00C256C6" w:rsidP="00C256C6">
      <w:pPr>
        <w:pStyle w:val="NoSpacing"/>
        <w:numPr>
          <w:ilvl w:val="3"/>
          <w:numId w:val="20"/>
        </w:numPr>
        <w:ind w:left="2160"/>
        <w:rPr>
          <w:highlight w:val="yellow"/>
        </w:rPr>
      </w:pPr>
      <w:r w:rsidRPr="004773C7">
        <w:rPr>
          <w:highlight w:val="yellow"/>
        </w:rPr>
        <w:t>Identification of user performing the activity</w:t>
      </w:r>
    </w:p>
    <w:p w:rsidR="00C256C6" w:rsidRPr="004773C7" w:rsidRDefault="00C256C6" w:rsidP="00C256C6">
      <w:pPr>
        <w:pStyle w:val="NoSpacing"/>
        <w:numPr>
          <w:ilvl w:val="3"/>
          <w:numId w:val="20"/>
        </w:numPr>
        <w:ind w:left="2160"/>
        <w:rPr>
          <w:highlight w:val="yellow"/>
        </w:rPr>
      </w:pPr>
      <w:r w:rsidRPr="004773C7">
        <w:rPr>
          <w:highlight w:val="yellow"/>
        </w:rPr>
        <w:t>Description of attempted or completed activity</w:t>
      </w:r>
    </w:p>
    <w:p w:rsidR="00C256C6" w:rsidRPr="004773C7" w:rsidRDefault="00C256C6" w:rsidP="00C256C6">
      <w:pPr>
        <w:pStyle w:val="NoSpacing"/>
        <w:numPr>
          <w:ilvl w:val="3"/>
          <w:numId w:val="20"/>
        </w:numPr>
        <w:ind w:left="2160"/>
        <w:rPr>
          <w:highlight w:val="yellow"/>
        </w:rPr>
      </w:pPr>
      <w:r w:rsidRPr="004773C7">
        <w:rPr>
          <w:highlight w:val="yellow"/>
        </w:rPr>
        <w:t>Application logs:</w:t>
      </w:r>
    </w:p>
    <w:p w:rsidR="00C256C6" w:rsidRPr="004773C7" w:rsidRDefault="00C256C6" w:rsidP="00C256C6">
      <w:pPr>
        <w:pStyle w:val="NoSpacing"/>
        <w:numPr>
          <w:ilvl w:val="4"/>
          <w:numId w:val="20"/>
        </w:numPr>
        <w:tabs>
          <w:tab w:val="left" w:pos="2250"/>
        </w:tabs>
        <w:ind w:left="2520"/>
        <w:rPr>
          <w:highlight w:val="yellow"/>
        </w:rPr>
      </w:pPr>
      <w:r w:rsidRPr="004773C7">
        <w:rPr>
          <w:highlight w:val="yellow"/>
        </w:rPr>
        <w:t>Client requests and server responses</w:t>
      </w:r>
    </w:p>
    <w:p w:rsidR="00C256C6" w:rsidRPr="004773C7" w:rsidRDefault="00C256C6" w:rsidP="00C256C6">
      <w:pPr>
        <w:pStyle w:val="NoSpacing"/>
        <w:numPr>
          <w:ilvl w:val="4"/>
          <w:numId w:val="20"/>
        </w:numPr>
        <w:tabs>
          <w:tab w:val="left" w:pos="2250"/>
        </w:tabs>
        <w:ind w:left="2520"/>
        <w:rPr>
          <w:highlight w:val="yellow"/>
        </w:rPr>
      </w:pPr>
      <w:r w:rsidRPr="004773C7">
        <w:rPr>
          <w:highlight w:val="yellow"/>
        </w:rPr>
        <w:t>Abnormal usage (number of transactions, usage spikes, etc.)</w:t>
      </w:r>
    </w:p>
    <w:p w:rsidR="00C256C6" w:rsidRPr="004773C7" w:rsidRDefault="00C256C6" w:rsidP="00C256C6">
      <w:pPr>
        <w:pStyle w:val="NoSpacing"/>
        <w:numPr>
          <w:ilvl w:val="4"/>
          <w:numId w:val="20"/>
        </w:numPr>
        <w:tabs>
          <w:tab w:val="left" w:pos="2250"/>
        </w:tabs>
        <w:ind w:left="2520"/>
        <w:rPr>
          <w:highlight w:val="yellow"/>
        </w:rPr>
      </w:pPr>
      <w:r w:rsidRPr="004773C7">
        <w:rPr>
          <w:highlight w:val="yellow"/>
        </w:rPr>
        <w:t>Abnormal application behavior (repeated restarts)</w:t>
      </w:r>
    </w:p>
    <w:p w:rsidR="00C256C6" w:rsidRPr="004773C7" w:rsidRDefault="00C256C6" w:rsidP="00C256C6">
      <w:pPr>
        <w:pStyle w:val="NoSpacing"/>
        <w:numPr>
          <w:ilvl w:val="4"/>
          <w:numId w:val="20"/>
        </w:numPr>
        <w:tabs>
          <w:tab w:val="left" w:pos="2250"/>
        </w:tabs>
        <w:ind w:left="2520"/>
        <w:rPr>
          <w:highlight w:val="yellow"/>
        </w:rPr>
      </w:pPr>
      <w:r w:rsidRPr="004773C7">
        <w:rPr>
          <w:highlight w:val="yellow"/>
        </w:rPr>
        <w:t>Data modification – if regulation or law required</w:t>
      </w:r>
    </w:p>
    <w:p w:rsidR="00C256C6" w:rsidRPr="004773C7" w:rsidRDefault="00C256C6" w:rsidP="00C256C6">
      <w:pPr>
        <w:pStyle w:val="NoSpacing"/>
        <w:numPr>
          <w:ilvl w:val="2"/>
          <w:numId w:val="20"/>
        </w:numPr>
        <w:ind w:left="1800"/>
        <w:rPr>
          <w:highlight w:val="yellow"/>
        </w:rPr>
      </w:pPr>
      <w:r w:rsidRPr="004773C7">
        <w:rPr>
          <w:highlight w:val="yellow"/>
        </w:rPr>
        <w:t xml:space="preserve">Reviewed in response to suspected or reported security incidents on </w:t>
      </w:r>
      <w:proofErr w:type="spellStart"/>
      <w:r w:rsidRPr="004773C7">
        <w:rPr>
          <w:highlight w:val="yellow"/>
        </w:rPr>
        <w:t>ePHI</w:t>
      </w:r>
      <w:proofErr w:type="spellEnd"/>
      <w:r w:rsidRPr="004773C7">
        <w:rPr>
          <w:highlight w:val="yellow"/>
        </w:rPr>
        <w:t xml:space="preserve"> system or per IT direction</w:t>
      </w:r>
    </w:p>
    <w:p w:rsidR="00C256C6" w:rsidRPr="004773C7" w:rsidRDefault="00C256C6" w:rsidP="00C256C6">
      <w:pPr>
        <w:pStyle w:val="NoSpacing"/>
        <w:numPr>
          <w:ilvl w:val="2"/>
          <w:numId w:val="20"/>
        </w:numPr>
        <w:ind w:left="1800"/>
        <w:rPr>
          <w:highlight w:val="yellow"/>
        </w:rPr>
      </w:pPr>
      <w:r w:rsidRPr="004773C7">
        <w:rPr>
          <w:highlight w:val="yellow"/>
        </w:rPr>
        <w:t>Reviewed in response to suspicious activity, escalated as required</w:t>
      </w:r>
    </w:p>
    <w:p w:rsidR="00C256C6" w:rsidRPr="004773C7" w:rsidRDefault="00C256C6" w:rsidP="00C256C6">
      <w:pPr>
        <w:pStyle w:val="NoSpacing"/>
        <w:numPr>
          <w:ilvl w:val="2"/>
          <w:numId w:val="20"/>
        </w:numPr>
        <w:ind w:left="1800"/>
        <w:rPr>
          <w:highlight w:val="yellow"/>
        </w:rPr>
      </w:pPr>
      <w:r w:rsidRPr="004773C7">
        <w:rPr>
          <w:highlight w:val="yellow"/>
        </w:rPr>
        <w:t>Individuals may not be the sole reviewer of their own activity</w:t>
      </w:r>
    </w:p>
    <w:p w:rsidR="00C256C6" w:rsidRPr="004773C7" w:rsidRDefault="00C256C6" w:rsidP="00C256C6">
      <w:pPr>
        <w:pStyle w:val="NoSpacing"/>
        <w:numPr>
          <w:ilvl w:val="2"/>
          <w:numId w:val="20"/>
        </w:numPr>
        <w:ind w:left="1800"/>
        <w:rPr>
          <w:highlight w:val="yellow"/>
        </w:rPr>
      </w:pPr>
      <w:r w:rsidRPr="004773C7">
        <w:rPr>
          <w:highlight w:val="yellow"/>
        </w:rPr>
        <w:t>System owners are responsible for determining systems reviewed</w:t>
      </w:r>
    </w:p>
    <w:p w:rsidR="00C256C6" w:rsidRPr="004773C7" w:rsidRDefault="00C256C6" w:rsidP="00C256C6">
      <w:pPr>
        <w:pStyle w:val="NoSpacing"/>
        <w:numPr>
          <w:ilvl w:val="0"/>
          <w:numId w:val="20"/>
        </w:numPr>
        <w:rPr>
          <w:highlight w:val="yellow"/>
        </w:rPr>
      </w:pPr>
      <w:r w:rsidRPr="004773C7">
        <w:rPr>
          <w:highlight w:val="yellow"/>
        </w:rPr>
        <w:t>Maintain documentation of periodic log reviews</w:t>
      </w:r>
    </w:p>
    <w:p w:rsidR="00C256C6" w:rsidRPr="004773C7" w:rsidRDefault="00C256C6" w:rsidP="00C256C6">
      <w:pPr>
        <w:pStyle w:val="NoSpacing"/>
        <w:numPr>
          <w:ilvl w:val="0"/>
          <w:numId w:val="20"/>
        </w:numPr>
        <w:rPr>
          <w:highlight w:val="yellow"/>
        </w:rPr>
      </w:pPr>
      <w:r w:rsidRPr="004773C7">
        <w:rPr>
          <w:highlight w:val="yellow"/>
        </w:rPr>
        <w:lastRenderedPageBreak/>
        <w:t>Logs relevant to security incidents should be retained for ___ years and other log data for a minimum of ____ days or as per university policy, practice or law/regulation</w:t>
      </w:r>
    </w:p>
    <w:p w:rsidR="00C256C6" w:rsidRPr="004773C7" w:rsidRDefault="00C256C6" w:rsidP="00C256C6">
      <w:pPr>
        <w:pStyle w:val="NoSpacing"/>
        <w:numPr>
          <w:ilvl w:val="0"/>
          <w:numId w:val="20"/>
        </w:numPr>
        <w:rPr>
          <w:highlight w:val="yellow"/>
        </w:rPr>
      </w:pPr>
      <w:r w:rsidRPr="004773C7">
        <w:rPr>
          <w:highlight w:val="yellow"/>
        </w:rPr>
        <w:t xml:space="preserve">Logs must be secured and protected </w:t>
      </w:r>
    </w:p>
    <w:p w:rsidR="00FA0536" w:rsidRPr="0054370C" w:rsidRDefault="00FA0536" w:rsidP="00FA0536">
      <w:pPr>
        <w:pStyle w:val="NormalWeb"/>
        <w:rPr>
          <w:rFonts w:asciiTheme="minorHAnsi" w:hAnsiTheme="minorHAnsi" w:cstheme="minorHAnsi"/>
          <w:sz w:val="28"/>
          <w:szCs w:val="28"/>
        </w:rPr>
      </w:pPr>
      <w:r w:rsidRPr="0054370C">
        <w:rPr>
          <w:rStyle w:val="Strong"/>
          <w:rFonts w:asciiTheme="minorHAnsi" w:hAnsiTheme="minorHAnsi" w:cstheme="minorHAnsi"/>
          <w:sz w:val="28"/>
          <w:szCs w:val="28"/>
        </w:rPr>
        <w:t>Password management</w:t>
      </w:r>
    </w:p>
    <w:p w:rsidR="00FA0536" w:rsidRPr="004773C7" w:rsidRDefault="00C256C6" w:rsidP="00FA0536">
      <w:pPr>
        <w:pStyle w:val="NormalWeb"/>
        <w:rPr>
          <w:rFonts w:asciiTheme="minorHAnsi" w:hAnsiTheme="minorHAnsi" w:cstheme="minorHAnsi"/>
          <w:sz w:val="22"/>
          <w:szCs w:val="22"/>
        </w:rPr>
      </w:pPr>
      <w:r w:rsidRPr="004773C7">
        <w:rPr>
          <w:rFonts w:asciiTheme="minorHAnsi" w:hAnsiTheme="minorHAnsi" w:cstheme="minorHAnsi"/>
          <w:sz w:val="22"/>
          <w:szCs w:val="22"/>
        </w:rPr>
        <w:t>Implement</w:t>
      </w:r>
      <w:r w:rsidR="00677AD7">
        <w:rPr>
          <w:rFonts w:asciiTheme="minorHAnsi" w:hAnsiTheme="minorHAnsi" w:cstheme="minorHAnsi"/>
          <w:sz w:val="22"/>
          <w:szCs w:val="22"/>
        </w:rPr>
        <w:t>ation: To develop</w:t>
      </w:r>
      <w:bookmarkStart w:id="0" w:name="_GoBack"/>
      <w:bookmarkEnd w:id="0"/>
      <w:r w:rsidRPr="004773C7">
        <w:rPr>
          <w:rFonts w:asciiTheme="minorHAnsi" w:hAnsiTheme="minorHAnsi" w:cstheme="minorHAnsi"/>
          <w:sz w:val="22"/>
          <w:szCs w:val="22"/>
        </w:rPr>
        <w:t xml:space="preserve"> p</w:t>
      </w:r>
      <w:r w:rsidR="00FA0536" w:rsidRPr="004773C7">
        <w:rPr>
          <w:rFonts w:asciiTheme="minorHAnsi" w:hAnsiTheme="minorHAnsi" w:cstheme="minorHAnsi"/>
          <w:sz w:val="22"/>
          <w:szCs w:val="22"/>
        </w:rPr>
        <w:t>rocedures for creating, changing, and safeguarding passwords.</w:t>
      </w:r>
      <w:r w:rsidR="00FA0536" w:rsidRPr="004773C7">
        <w:rPr>
          <w:rStyle w:val="Strong"/>
          <w:rFonts w:asciiTheme="minorHAnsi" w:hAnsiTheme="minorHAnsi" w:cstheme="minorHAnsi"/>
          <w:sz w:val="22"/>
          <w:szCs w:val="22"/>
        </w:rPr>
        <w:t xml:space="preserve"> </w:t>
      </w:r>
      <w:r w:rsidR="00FA0536" w:rsidRPr="004773C7">
        <w:rPr>
          <w:rStyle w:val="Strong"/>
          <w:rFonts w:asciiTheme="minorHAnsi" w:hAnsiTheme="minorHAnsi" w:cstheme="minorHAnsi"/>
          <w:b w:val="0"/>
          <w:sz w:val="22"/>
          <w:szCs w:val="22"/>
        </w:rPr>
        <w:t>164.308(a</w:t>
      </w:r>
      <w:proofErr w:type="gramStart"/>
      <w:r w:rsidR="00FA0536" w:rsidRPr="004773C7">
        <w:rPr>
          <w:rStyle w:val="Strong"/>
          <w:rFonts w:asciiTheme="minorHAnsi" w:hAnsiTheme="minorHAnsi" w:cstheme="minorHAnsi"/>
          <w:b w:val="0"/>
          <w:sz w:val="22"/>
          <w:szCs w:val="22"/>
        </w:rPr>
        <w:t>)(</w:t>
      </w:r>
      <w:proofErr w:type="gramEnd"/>
      <w:r w:rsidR="00FA0536" w:rsidRPr="004773C7">
        <w:rPr>
          <w:rStyle w:val="Strong"/>
          <w:rFonts w:asciiTheme="minorHAnsi" w:hAnsiTheme="minorHAnsi" w:cstheme="minorHAnsi"/>
          <w:b w:val="0"/>
          <w:sz w:val="22"/>
          <w:szCs w:val="22"/>
        </w:rPr>
        <w:t>5)(ii)(D)</w:t>
      </w:r>
    </w:p>
    <w:p w:rsidR="0054370C" w:rsidRPr="004773C7" w:rsidRDefault="00FA0536" w:rsidP="0054370C">
      <w:pPr>
        <w:pStyle w:val="NormalWeb"/>
        <w:numPr>
          <w:ilvl w:val="0"/>
          <w:numId w:val="16"/>
        </w:numPr>
        <w:rPr>
          <w:rFonts w:asciiTheme="minorHAnsi" w:hAnsiTheme="minorHAnsi" w:cstheme="minorHAnsi"/>
          <w:sz w:val="22"/>
          <w:szCs w:val="22"/>
        </w:rPr>
      </w:pPr>
      <w:r w:rsidRPr="004773C7">
        <w:rPr>
          <w:rFonts w:asciiTheme="minorHAnsi" w:hAnsiTheme="minorHAnsi" w:cstheme="minorHAnsi"/>
          <w:sz w:val="22"/>
          <w:szCs w:val="22"/>
        </w:rPr>
        <w:t xml:space="preserve">Passwords for systems containing or accessing </w:t>
      </w:r>
      <w:proofErr w:type="spellStart"/>
      <w:r w:rsidRPr="004773C7">
        <w:rPr>
          <w:rFonts w:asciiTheme="minorHAnsi" w:hAnsiTheme="minorHAnsi" w:cstheme="minorHAnsi"/>
          <w:sz w:val="22"/>
          <w:szCs w:val="22"/>
        </w:rPr>
        <w:t>ePHI</w:t>
      </w:r>
      <w:proofErr w:type="spellEnd"/>
      <w:r w:rsidRPr="004773C7">
        <w:rPr>
          <w:rFonts w:asciiTheme="minorHAnsi" w:hAnsiTheme="minorHAnsi" w:cstheme="minorHAnsi"/>
          <w:sz w:val="22"/>
          <w:szCs w:val="22"/>
        </w:rPr>
        <w:t xml:space="preserve"> will comply with the </w:t>
      </w:r>
      <w:proofErr w:type="spellStart"/>
      <w:r w:rsidR="0054370C" w:rsidRPr="004773C7">
        <w:rPr>
          <w:rStyle w:val="Emphasis"/>
          <w:rFonts w:asciiTheme="minorHAnsi" w:hAnsiTheme="minorHAnsi" w:cstheme="minorHAnsi"/>
          <w:sz w:val="22"/>
          <w:szCs w:val="22"/>
        </w:rPr>
        <w:t>UofL</w:t>
      </w:r>
      <w:proofErr w:type="spellEnd"/>
      <w:r w:rsidR="0054370C" w:rsidRPr="004773C7">
        <w:rPr>
          <w:rStyle w:val="Emphasis"/>
          <w:rFonts w:asciiTheme="minorHAnsi" w:hAnsiTheme="minorHAnsi" w:cstheme="minorHAnsi"/>
          <w:sz w:val="22"/>
          <w:szCs w:val="22"/>
        </w:rPr>
        <w:t xml:space="preserve"> Password Strength and Security </w:t>
      </w:r>
      <w:r w:rsidRPr="004773C7">
        <w:rPr>
          <w:rStyle w:val="Emphasis"/>
          <w:rFonts w:asciiTheme="minorHAnsi" w:hAnsiTheme="minorHAnsi" w:cstheme="minorHAnsi"/>
          <w:sz w:val="22"/>
          <w:szCs w:val="22"/>
        </w:rPr>
        <w:t>Standards</w:t>
      </w:r>
      <w:r w:rsidRPr="004773C7">
        <w:rPr>
          <w:rFonts w:asciiTheme="minorHAnsi" w:hAnsiTheme="minorHAnsi" w:cstheme="minorHAnsi"/>
          <w:sz w:val="22"/>
          <w:szCs w:val="22"/>
        </w:rPr>
        <w:t>: </w:t>
      </w:r>
    </w:p>
    <w:p w:rsidR="00FA0536" w:rsidRPr="004773C7" w:rsidRDefault="00677AD7" w:rsidP="0054370C">
      <w:pPr>
        <w:pStyle w:val="NormalWeb"/>
        <w:ind w:left="720"/>
        <w:rPr>
          <w:rFonts w:asciiTheme="minorHAnsi" w:hAnsiTheme="minorHAnsi" w:cstheme="minorHAnsi"/>
          <w:sz w:val="22"/>
          <w:szCs w:val="22"/>
        </w:rPr>
      </w:pPr>
      <w:hyperlink r:id="rId7" w:history="1">
        <w:r w:rsidR="0054370C" w:rsidRPr="004773C7">
          <w:rPr>
            <w:rStyle w:val="Hyperlink"/>
            <w:rFonts w:asciiTheme="minorHAnsi" w:hAnsiTheme="minorHAnsi" w:cstheme="minorHAnsi"/>
            <w:sz w:val="22"/>
            <w:szCs w:val="22"/>
          </w:rPr>
          <w:t>https://sharepoint.louisville.edu/sites/policies/library/SitePages/Information%20Technology/Passwords.aspx</w:t>
        </w:r>
      </w:hyperlink>
      <w:r w:rsidR="0054370C" w:rsidRPr="004773C7">
        <w:rPr>
          <w:rFonts w:asciiTheme="minorHAnsi" w:hAnsiTheme="minorHAnsi" w:cstheme="minorHAnsi"/>
          <w:sz w:val="22"/>
          <w:szCs w:val="22"/>
        </w:rPr>
        <w:t xml:space="preserve"> </w:t>
      </w:r>
    </w:p>
    <w:p w:rsidR="00FA0536" w:rsidRPr="004773C7" w:rsidRDefault="0054370C" w:rsidP="00FA0536">
      <w:pPr>
        <w:numPr>
          <w:ilvl w:val="0"/>
          <w:numId w:val="15"/>
        </w:numPr>
        <w:spacing w:before="100" w:beforeAutospacing="1" w:after="100" w:afterAutospacing="1" w:line="240" w:lineRule="auto"/>
        <w:rPr>
          <w:rFonts w:cstheme="minorHAnsi"/>
        </w:rPr>
      </w:pPr>
      <w:r w:rsidRPr="004773C7">
        <w:rPr>
          <w:rFonts w:cstheme="minorHAnsi"/>
        </w:rPr>
        <w:t xml:space="preserve">Enforce </w:t>
      </w:r>
      <w:proofErr w:type="spellStart"/>
      <w:r w:rsidRPr="004773C7">
        <w:rPr>
          <w:rFonts w:cstheme="minorHAnsi"/>
        </w:rPr>
        <w:t>UofL</w:t>
      </w:r>
      <w:proofErr w:type="spellEnd"/>
      <w:r w:rsidR="00FA0536" w:rsidRPr="004773C7">
        <w:rPr>
          <w:rFonts w:cstheme="minorHAnsi"/>
        </w:rPr>
        <w:t xml:space="preserve"> password complexity requir</w:t>
      </w:r>
      <w:r w:rsidRPr="004773C7">
        <w:rPr>
          <w:rFonts w:cstheme="minorHAnsi"/>
        </w:rPr>
        <w:t>ements for third-party access were</w:t>
      </w:r>
      <w:r w:rsidR="00FA0536" w:rsidRPr="004773C7">
        <w:rPr>
          <w:rFonts w:cstheme="minorHAnsi"/>
        </w:rPr>
        <w:t xml:space="preserve"> possible.</w:t>
      </w:r>
    </w:p>
    <w:p w:rsidR="00FA0536" w:rsidRPr="00FA0536" w:rsidRDefault="00FA0536"/>
    <w:p w:rsidR="00FA0536" w:rsidRDefault="00FA0536">
      <w:pPr>
        <w:rPr>
          <w:b/>
          <w:sz w:val="28"/>
          <w:szCs w:val="28"/>
          <w:u w:val="single"/>
        </w:rPr>
      </w:pPr>
    </w:p>
    <w:p w:rsidR="00FA0536" w:rsidRDefault="00FA0536">
      <w:pPr>
        <w:rPr>
          <w:b/>
          <w:sz w:val="28"/>
          <w:szCs w:val="28"/>
          <w:u w:val="single"/>
        </w:rPr>
      </w:pPr>
    </w:p>
    <w:sectPr w:rsidR="00FA0536" w:rsidSect="00E2241A">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AFA"/>
    <w:multiLevelType w:val="hybridMultilevel"/>
    <w:tmpl w:val="D0223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032C"/>
    <w:multiLevelType w:val="hybridMultilevel"/>
    <w:tmpl w:val="07DA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5D2B86"/>
    <w:multiLevelType w:val="hybridMultilevel"/>
    <w:tmpl w:val="F8B8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24D"/>
    <w:multiLevelType w:val="hybridMultilevel"/>
    <w:tmpl w:val="3190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016A5"/>
    <w:multiLevelType w:val="multilevel"/>
    <w:tmpl w:val="D5BE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00AD3"/>
    <w:multiLevelType w:val="multilevel"/>
    <w:tmpl w:val="24F8B8C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5511439"/>
    <w:multiLevelType w:val="hybridMultilevel"/>
    <w:tmpl w:val="1DA0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13465"/>
    <w:multiLevelType w:val="hybridMultilevel"/>
    <w:tmpl w:val="7C9CE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4690C"/>
    <w:multiLevelType w:val="multilevel"/>
    <w:tmpl w:val="56E4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7563C"/>
    <w:multiLevelType w:val="multilevel"/>
    <w:tmpl w:val="65DAD8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80F0681"/>
    <w:multiLevelType w:val="hybridMultilevel"/>
    <w:tmpl w:val="B03448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A757A"/>
    <w:multiLevelType w:val="hybridMultilevel"/>
    <w:tmpl w:val="BEC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65C8F"/>
    <w:multiLevelType w:val="hybridMultilevel"/>
    <w:tmpl w:val="2AF6A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E75C46"/>
    <w:multiLevelType w:val="hybridMultilevel"/>
    <w:tmpl w:val="76E6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C6CC2"/>
    <w:multiLevelType w:val="hybridMultilevel"/>
    <w:tmpl w:val="1FFA0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D87B02"/>
    <w:multiLevelType w:val="hybridMultilevel"/>
    <w:tmpl w:val="C5F4D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E11A4"/>
    <w:multiLevelType w:val="hybridMultilevel"/>
    <w:tmpl w:val="4E7A2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B22307"/>
    <w:multiLevelType w:val="hybridMultilevel"/>
    <w:tmpl w:val="013E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D2CDD"/>
    <w:multiLevelType w:val="hybridMultilevel"/>
    <w:tmpl w:val="8DB8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77EFA"/>
    <w:multiLevelType w:val="hybridMultilevel"/>
    <w:tmpl w:val="AA04085A"/>
    <w:lvl w:ilvl="0" w:tplc="81505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982D65"/>
    <w:multiLevelType w:val="hybridMultilevel"/>
    <w:tmpl w:val="2A1C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6"/>
  </w:num>
  <w:num w:numId="5">
    <w:abstractNumId w:val="17"/>
  </w:num>
  <w:num w:numId="6">
    <w:abstractNumId w:val="19"/>
  </w:num>
  <w:num w:numId="7">
    <w:abstractNumId w:val="14"/>
  </w:num>
  <w:num w:numId="8">
    <w:abstractNumId w:val="12"/>
  </w:num>
  <w:num w:numId="9">
    <w:abstractNumId w:val="2"/>
  </w:num>
  <w:num w:numId="10">
    <w:abstractNumId w:val="3"/>
  </w:num>
  <w:num w:numId="11">
    <w:abstractNumId w:val="11"/>
  </w:num>
  <w:num w:numId="12">
    <w:abstractNumId w:val="10"/>
  </w:num>
  <w:num w:numId="13">
    <w:abstractNumId w:val="13"/>
  </w:num>
  <w:num w:numId="14">
    <w:abstractNumId w:val="7"/>
  </w:num>
  <w:num w:numId="15">
    <w:abstractNumId w:val="4"/>
  </w:num>
  <w:num w:numId="16">
    <w:abstractNumId w:val="18"/>
  </w:num>
  <w:num w:numId="17">
    <w:abstractNumId w:val="8"/>
  </w:num>
  <w:num w:numId="18">
    <w:abstractNumId w:val="9"/>
  </w:num>
  <w:num w:numId="19">
    <w:abstractNumId w:val="5"/>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C"/>
    <w:rsid w:val="000B0B96"/>
    <w:rsid w:val="001A054E"/>
    <w:rsid w:val="002E2FFE"/>
    <w:rsid w:val="002F4A66"/>
    <w:rsid w:val="0036031F"/>
    <w:rsid w:val="0047476D"/>
    <w:rsid w:val="004773C7"/>
    <w:rsid w:val="00487244"/>
    <w:rsid w:val="004E1EB9"/>
    <w:rsid w:val="005432E5"/>
    <w:rsid w:val="0054370C"/>
    <w:rsid w:val="00563D2C"/>
    <w:rsid w:val="00666BD6"/>
    <w:rsid w:val="0067543C"/>
    <w:rsid w:val="00677AD7"/>
    <w:rsid w:val="007909FD"/>
    <w:rsid w:val="008052C0"/>
    <w:rsid w:val="00825033"/>
    <w:rsid w:val="0084514F"/>
    <w:rsid w:val="00846304"/>
    <w:rsid w:val="008D7A22"/>
    <w:rsid w:val="0094257E"/>
    <w:rsid w:val="00980802"/>
    <w:rsid w:val="009A0895"/>
    <w:rsid w:val="00A16169"/>
    <w:rsid w:val="00A34047"/>
    <w:rsid w:val="00A67484"/>
    <w:rsid w:val="00AC48AF"/>
    <w:rsid w:val="00AE0CD5"/>
    <w:rsid w:val="00B204D3"/>
    <w:rsid w:val="00B34694"/>
    <w:rsid w:val="00BC072D"/>
    <w:rsid w:val="00C256C6"/>
    <w:rsid w:val="00C31349"/>
    <w:rsid w:val="00C85653"/>
    <w:rsid w:val="00CD3F80"/>
    <w:rsid w:val="00CF2182"/>
    <w:rsid w:val="00D306C5"/>
    <w:rsid w:val="00D54254"/>
    <w:rsid w:val="00D77957"/>
    <w:rsid w:val="00DA45A4"/>
    <w:rsid w:val="00E03F8C"/>
    <w:rsid w:val="00E2241A"/>
    <w:rsid w:val="00EA1E21"/>
    <w:rsid w:val="00EB6329"/>
    <w:rsid w:val="00EB7163"/>
    <w:rsid w:val="00FA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93C1"/>
  <w15:chartTrackingRefBased/>
  <w15:docId w15:val="{0BA78B81-84B0-4FD2-AB38-0798C76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2D"/>
    <w:pPr>
      <w:ind w:left="720"/>
      <w:contextualSpacing/>
    </w:pPr>
  </w:style>
  <w:style w:type="character" w:styleId="Hyperlink">
    <w:name w:val="Hyperlink"/>
    <w:basedOn w:val="DefaultParagraphFont"/>
    <w:uiPriority w:val="99"/>
    <w:unhideWhenUsed/>
    <w:rsid w:val="00BC072D"/>
    <w:rPr>
      <w:color w:val="0563C1" w:themeColor="hyperlink"/>
      <w:u w:val="single"/>
    </w:rPr>
  </w:style>
  <w:style w:type="paragraph" w:styleId="NoSpacing">
    <w:name w:val="No Spacing"/>
    <w:uiPriority w:val="1"/>
    <w:qFormat/>
    <w:rsid w:val="00BC072D"/>
    <w:pPr>
      <w:spacing w:after="0" w:line="240" w:lineRule="auto"/>
    </w:pPr>
  </w:style>
  <w:style w:type="paragraph" w:styleId="BalloonText">
    <w:name w:val="Balloon Text"/>
    <w:basedOn w:val="Normal"/>
    <w:link w:val="BalloonTextChar"/>
    <w:uiPriority w:val="99"/>
    <w:semiHidden/>
    <w:unhideWhenUsed/>
    <w:rsid w:val="0036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31F"/>
    <w:rPr>
      <w:rFonts w:ascii="Segoe UI" w:hAnsi="Segoe UI" w:cs="Segoe UI"/>
      <w:sz w:val="18"/>
      <w:szCs w:val="18"/>
    </w:rPr>
  </w:style>
  <w:style w:type="paragraph" w:styleId="NormalWeb">
    <w:name w:val="Normal (Web)"/>
    <w:basedOn w:val="Normal"/>
    <w:uiPriority w:val="99"/>
    <w:semiHidden/>
    <w:unhideWhenUsed/>
    <w:rsid w:val="00FA05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536"/>
    <w:rPr>
      <w:b/>
      <w:bCs/>
    </w:rPr>
  </w:style>
  <w:style w:type="character" w:styleId="Emphasis">
    <w:name w:val="Emphasis"/>
    <w:basedOn w:val="DefaultParagraphFont"/>
    <w:uiPriority w:val="20"/>
    <w:qFormat/>
    <w:rsid w:val="00FA0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epoint.louisville.edu/sites/policies/library/SitePages/Information%20Technology/Password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uisville.edu/email/cardmail-faqs" TargetMode="External"/><Relationship Id="rId5" Type="http://schemas.openxmlformats.org/officeDocument/2006/relationships/hyperlink" Target="https://www.us-cert.gov/publications/securing-your-web-brows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Adams,Kimberly P</dc:creator>
  <cp:keywords/>
  <dc:description/>
  <cp:lastModifiedBy>Cooper,Lisa L</cp:lastModifiedBy>
  <cp:revision>6</cp:revision>
  <cp:lastPrinted>2018-09-04T16:55:00Z</cp:lastPrinted>
  <dcterms:created xsi:type="dcterms:W3CDTF">2019-02-13T17:30:00Z</dcterms:created>
  <dcterms:modified xsi:type="dcterms:W3CDTF">2019-07-25T16:24:00Z</dcterms:modified>
</cp:coreProperties>
</file>