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E61" w:rsidRDefault="00533E61" w:rsidP="00E169D2">
      <w:pPr>
        <w:spacing w:after="120"/>
        <w:rPr>
          <w:rFonts w:ascii="Arial" w:hAnsi="Arial"/>
          <w:b/>
          <w:sz w:val="22"/>
        </w:rPr>
      </w:pPr>
      <w:r>
        <w:rPr>
          <w:rFonts w:ascii="Arial" w:hAnsi="Arial"/>
          <w:b/>
          <w:sz w:val="22"/>
        </w:rPr>
        <w:t>ADDRESSING ELSI ISSUES IN UNREGULATED HEALTH RESEARCH USING MOBILE DEVICES</w:t>
      </w:r>
    </w:p>
    <w:p w:rsidR="00ED72F9" w:rsidRPr="00577AD2" w:rsidRDefault="00D52823" w:rsidP="008F3584">
      <w:pPr>
        <w:spacing w:after="120"/>
        <w:rPr>
          <w:rFonts w:ascii="Arial" w:hAnsi="Arial"/>
          <w:b/>
          <w:sz w:val="22"/>
        </w:rPr>
      </w:pPr>
      <w:r w:rsidRPr="00577AD2">
        <w:rPr>
          <w:rFonts w:ascii="Arial" w:hAnsi="Arial"/>
          <w:b/>
          <w:sz w:val="22"/>
        </w:rPr>
        <w:t>RESEARCH PLAN</w:t>
      </w:r>
    </w:p>
    <w:p w:rsidR="00D52823" w:rsidRPr="00577AD2" w:rsidRDefault="00D52823" w:rsidP="004274B9">
      <w:pPr>
        <w:spacing w:before="120" w:after="60" w:line="220" w:lineRule="exact"/>
        <w:rPr>
          <w:rFonts w:ascii="Arial" w:hAnsi="Arial"/>
          <w:b/>
          <w:sz w:val="22"/>
        </w:rPr>
      </w:pPr>
      <w:r w:rsidRPr="00577AD2">
        <w:rPr>
          <w:rFonts w:ascii="Arial" w:hAnsi="Arial"/>
          <w:b/>
          <w:sz w:val="22"/>
        </w:rPr>
        <w:t>A. SIGNIFICANCE</w:t>
      </w:r>
    </w:p>
    <w:p w:rsidR="00D52823" w:rsidRPr="00577AD2" w:rsidRDefault="005864B0" w:rsidP="00423BA8">
      <w:pPr>
        <w:spacing w:after="120" w:line="240" w:lineRule="exact"/>
        <w:jc w:val="both"/>
        <w:rPr>
          <w:rFonts w:ascii="Arial" w:hAnsi="Arial"/>
          <w:sz w:val="22"/>
        </w:rPr>
      </w:pPr>
      <w:r>
        <w:rPr>
          <w:rFonts w:ascii="Arial" w:hAnsi="Arial"/>
          <w:sz w:val="22"/>
        </w:rPr>
        <w:t xml:space="preserve">In the last decade there has been explosive growth in </w:t>
      </w:r>
      <w:r w:rsidR="000C6E53">
        <w:rPr>
          <w:rFonts w:ascii="Arial" w:hAnsi="Arial"/>
          <w:sz w:val="22"/>
        </w:rPr>
        <w:t>the</w:t>
      </w:r>
      <w:r w:rsidR="00FF43E8">
        <w:rPr>
          <w:rFonts w:ascii="Arial" w:hAnsi="Arial"/>
          <w:sz w:val="22"/>
        </w:rPr>
        <w:t xml:space="preserve"> </w:t>
      </w:r>
      <w:r w:rsidR="004274B9">
        <w:rPr>
          <w:rFonts w:ascii="Arial" w:hAnsi="Arial"/>
          <w:sz w:val="22"/>
        </w:rPr>
        <w:t>collection</w:t>
      </w:r>
      <w:r w:rsidR="00FF43E8">
        <w:rPr>
          <w:rFonts w:ascii="Arial" w:hAnsi="Arial"/>
          <w:sz w:val="22"/>
        </w:rPr>
        <w:t xml:space="preserve"> </w:t>
      </w:r>
      <w:r w:rsidR="000C6E53">
        <w:rPr>
          <w:rFonts w:ascii="Arial" w:hAnsi="Arial"/>
          <w:sz w:val="22"/>
        </w:rPr>
        <w:t xml:space="preserve">of individual health data </w:t>
      </w:r>
      <w:r w:rsidR="00FF43E8">
        <w:rPr>
          <w:rFonts w:ascii="Arial" w:hAnsi="Arial"/>
          <w:sz w:val="22"/>
        </w:rPr>
        <w:t>on mobile devices</w:t>
      </w:r>
      <w:r w:rsidR="00D55B66" w:rsidRPr="00577AD2">
        <w:rPr>
          <w:rFonts w:ascii="Arial" w:hAnsi="Arial"/>
          <w:sz w:val="22"/>
        </w:rPr>
        <w:t xml:space="preserve">. </w:t>
      </w:r>
      <w:r w:rsidR="00016B17" w:rsidRPr="00577AD2">
        <w:rPr>
          <w:rFonts w:ascii="Arial" w:hAnsi="Arial"/>
          <w:sz w:val="22"/>
        </w:rPr>
        <w:t xml:space="preserve">According to the </w:t>
      </w:r>
      <w:r w:rsidR="00526453">
        <w:rPr>
          <w:rFonts w:ascii="Arial" w:hAnsi="Arial"/>
          <w:sz w:val="22"/>
        </w:rPr>
        <w:t>Food and Drug Administration (</w:t>
      </w:r>
      <w:r w:rsidR="00016B17" w:rsidRPr="00577AD2">
        <w:rPr>
          <w:rFonts w:ascii="Arial" w:hAnsi="Arial"/>
          <w:sz w:val="22"/>
        </w:rPr>
        <w:t>FDA</w:t>
      </w:r>
      <w:r w:rsidR="00526453">
        <w:rPr>
          <w:rFonts w:ascii="Arial" w:hAnsi="Arial"/>
          <w:sz w:val="22"/>
        </w:rPr>
        <w:t>)</w:t>
      </w:r>
      <w:r w:rsidR="00016B17" w:rsidRPr="00577AD2">
        <w:rPr>
          <w:rFonts w:ascii="Arial" w:hAnsi="Arial"/>
          <w:sz w:val="22"/>
        </w:rPr>
        <w:t>, in 2015</w:t>
      </w:r>
      <w:r w:rsidR="00EA3D10" w:rsidRPr="00577AD2">
        <w:rPr>
          <w:rFonts w:ascii="Arial" w:hAnsi="Arial"/>
          <w:sz w:val="22"/>
        </w:rPr>
        <w:t>,</w:t>
      </w:r>
      <w:r w:rsidR="00016B17" w:rsidRPr="00577AD2">
        <w:rPr>
          <w:rFonts w:ascii="Arial" w:hAnsi="Arial"/>
          <w:sz w:val="22"/>
        </w:rPr>
        <w:t xml:space="preserve"> there </w:t>
      </w:r>
      <w:r w:rsidR="00EA3D10" w:rsidRPr="00577AD2">
        <w:rPr>
          <w:rFonts w:ascii="Arial" w:hAnsi="Arial"/>
          <w:sz w:val="22"/>
        </w:rPr>
        <w:t xml:space="preserve">were </w:t>
      </w:r>
      <w:r w:rsidR="00016B17" w:rsidRPr="00577AD2">
        <w:rPr>
          <w:rFonts w:ascii="Arial" w:hAnsi="Arial"/>
          <w:sz w:val="22"/>
        </w:rPr>
        <w:t xml:space="preserve">about 500 million smartphone users worldwide </w:t>
      </w:r>
      <w:r w:rsidR="00EA3D10" w:rsidRPr="00577AD2">
        <w:rPr>
          <w:rFonts w:ascii="Arial" w:hAnsi="Arial"/>
          <w:sz w:val="22"/>
        </w:rPr>
        <w:t>using</w:t>
      </w:r>
      <w:r w:rsidR="00016B17" w:rsidRPr="00577AD2">
        <w:rPr>
          <w:rFonts w:ascii="Arial" w:hAnsi="Arial"/>
          <w:sz w:val="22"/>
        </w:rPr>
        <w:t xml:space="preserve"> one or more health apps</w:t>
      </w:r>
      <w:r w:rsidR="003E309A" w:rsidRPr="00577AD2">
        <w:rPr>
          <w:rFonts w:ascii="Arial" w:hAnsi="Arial"/>
          <w:sz w:val="22"/>
        </w:rPr>
        <w:t>, with the number expected to grow to 1.7 billion by 2018</w:t>
      </w:r>
      <w:r w:rsidR="00016B17" w:rsidRPr="00577AD2">
        <w:rPr>
          <w:rFonts w:ascii="Arial" w:hAnsi="Arial"/>
          <w:sz w:val="22"/>
        </w:rPr>
        <w:t>.</w:t>
      </w:r>
      <w:bookmarkStart w:id="0" w:name="_GoBack"/>
      <w:bookmarkEnd w:id="0"/>
      <w:r w:rsidR="003E309A" w:rsidRPr="00577AD2">
        <w:rPr>
          <w:rStyle w:val="EndnoteReference"/>
          <w:rFonts w:ascii="Arial" w:hAnsi="Arial"/>
          <w:sz w:val="22"/>
        </w:rPr>
        <w:endnoteReference w:id="2"/>
      </w:r>
      <w:r w:rsidR="00016B17" w:rsidRPr="00577AD2">
        <w:rPr>
          <w:rFonts w:ascii="Arial" w:hAnsi="Arial"/>
          <w:sz w:val="22"/>
        </w:rPr>
        <w:t xml:space="preserve"> Also</w:t>
      </w:r>
      <w:r w:rsidR="00FA4AF3" w:rsidRPr="00577AD2">
        <w:rPr>
          <w:rFonts w:ascii="Arial" w:hAnsi="Arial"/>
          <w:sz w:val="22"/>
        </w:rPr>
        <w:t>, in</w:t>
      </w:r>
      <w:r w:rsidR="00D52823" w:rsidRPr="00577AD2">
        <w:rPr>
          <w:rFonts w:ascii="Arial" w:hAnsi="Arial"/>
          <w:sz w:val="22"/>
        </w:rPr>
        <w:t xml:space="preserve"> 2015, there were 90,000 health apps available on iTunes and 75,000 health apps</w:t>
      </w:r>
      <w:r w:rsidR="00016B17" w:rsidRPr="00577AD2">
        <w:rPr>
          <w:rFonts w:ascii="Arial" w:hAnsi="Arial"/>
          <w:sz w:val="22"/>
        </w:rPr>
        <w:t xml:space="preserve"> </w:t>
      </w:r>
      <w:r w:rsidR="00D52823" w:rsidRPr="00577AD2">
        <w:rPr>
          <w:rFonts w:ascii="Arial" w:hAnsi="Arial"/>
          <w:sz w:val="22"/>
        </w:rPr>
        <w:t>available from the Android app store.</w:t>
      </w:r>
      <w:r w:rsidR="003E309A" w:rsidRPr="00577AD2">
        <w:rPr>
          <w:rStyle w:val="EndnoteReference"/>
          <w:rFonts w:ascii="Arial" w:hAnsi="Arial"/>
          <w:sz w:val="22"/>
        </w:rPr>
        <w:endnoteReference w:id="3"/>
      </w:r>
    </w:p>
    <w:p w:rsidR="003E309A" w:rsidRPr="00577AD2" w:rsidRDefault="003E309A" w:rsidP="00423BA8">
      <w:pPr>
        <w:spacing w:after="120" w:line="240" w:lineRule="exact"/>
        <w:jc w:val="both"/>
        <w:rPr>
          <w:rFonts w:ascii="Arial" w:hAnsi="Arial"/>
          <w:sz w:val="22"/>
        </w:rPr>
      </w:pPr>
      <w:r w:rsidRPr="00577AD2">
        <w:rPr>
          <w:rFonts w:ascii="Arial" w:hAnsi="Arial"/>
          <w:sz w:val="22"/>
        </w:rPr>
        <w:t xml:space="preserve">Mobile </w:t>
      </w:r>
      <w:r w:rsidR="002E48E5">
        <w:rPr>
          <w:rFonts w:ascii="Arial" w:hAnsi="Arial"/>
          <w:sz w:val="22"/>
        </w:rPr>
        <w:t>health</w:t>
      </w:r>
      <w:r w:rsidRPr="00577AD2">
        <w:rPr>
          <w:rFonts w:ascii="Arial" w:hAnsi="Arial"/>
          <w:sz w:val="22"/>
        </w:rPr>
        <w:t xml:space="preserve"> apps </w:t>
      </w:r>
      <w:r w:rsidR="00FF43E8">
        <w:rPr>
          <w:rFonts w:ascii="Arial" w:hAnsi="Arial"/>
          <w:sz w:val="22"/>
        </w:rPr>
        <w:t>have become</w:t>
      </w:r>
      <w:r w:rsidRPr="00577AD2">
        <w:rPr>
          <w:rFonts w:ascii="Arial" w:hAnsi="Arial"/>
          <w:sz w:val="22"/>
        </w:rPr>
        <w:t xml:space="preserve"> increasingly sophisticated. </w:t>
      </w:r>
      <w:r w:rsidR="00526453">
        <w:rPr>
          <w:rFonts w:ascii="Arial" w:hAnsi="Arial"/>
          <w:sz w:val="22"/>
        </w:rPr>
        <w:t>T</w:t>
      </w:r>
      <w:r w:rsidRPr="00577AD2">
        <w:rPr>
          <w:rFonts w:ascii="Arial" w:hAnsi="Arial"/>
          <w:sz w:val="22"/>
        </w:rPr>
        <w:t>he numerous apps</w:t>
      </w:r>
      <w:r w:rsidR="00526453">
        <w:rPr>
          <w:rFonts w:ascii="Arial" w:hAnsi="Arial"/>
          <w:sz w:val="22"/>
        </w:rPr>
        <w:t xml:space="preserve"> fall into two general categories: (1) those that utilize existing hardware on the phone</w:t>
      </w:r>
      <w:r w:rsidR="00D01288">
        <w:rPr>
          <w:rFonts w:ascii="Arial" w:hAnsi="Arial"/>
          <w:sz w:val="22"/>
        </w:rPr>
        <w:t xml:space="preserve"> or other device</w:t>
      </w:r>
      <w:r w:rsidR="00526453">
        <w:rPr>
          <w:rFonts w:ascii="Arial" w:hAnsi="Arial"/>
          <w:sz w:val="22"/>
        </w:rPr>
        <w:t xml:space="preserve"> (e.g., cameras, accelerometers), and (2) those </w:t>
      </w:r>
      <w:r w:rsidR="0094479A">
        <w:rPr>
          <w:rFonts w:ascii="Arial" w:hAnsi="Arial"/>
          <w:sz w:val="22"/>
        </w:rPr>
        <w:t xml:space="preserve">that </w:t>
      </w:r>
      <w:r w:rsidR="00F376AF">
        <w:rPr>
          <w:rFonts w:ascii="Arial" w:hAnsi="Arial"/>
          <w:sz w:val="22"/>
        </w:rPr>
        <w:t>utilize</w:t>
      </w:r>
      <w:r w:rsidR="00526453">
        <w:rPr>
          <w:rFonts w:ascii="Arial" w:hAnsi="Arial"/>
          <w:sz w:val="22"/>
        </w:rPr>
        <w:t xml:space="preserve"> external hardware</w:t>
      </w:r>
      <w:r w:rsidR="00A83BB2">
        <w:rPr>
          <w:rFonts w:ascii="Arial" w:hAnsi="Arial"/>
          <w:sz w:val="22"/>
        </w:rPr>
        <w:t>, including wearables</w:t>
      </w:r>
      <w:r w:rsidR="00526453">
        <w:rPr>
          <w:rFonts w:ascii="Arial" w:hAnsi="Arial"/>
          <w:sz w:val="22"/>
        </w:rPr>
        <w:t xml:space="preserve">. </w:t>
      </w:r>
      <w:r w:rsidR="00654CF8">
        <w:rPr>
          <w:rFonts w:ascii="Arial" w:hAnsi="Arial"/>
          <w:sz w:val="22"/>
        </w:rPr>
        <w:t>E</w:t>
      </w:r>
      <w:r w:rsidR="00526453">
        <w:rPr>
          <w:rFonts w:ascii="Arial" w:hAnsi="Arial"/>
          <w:sz w:val="22"/>
        </w:rPr>
        <w:t>xternal hardware</w:t>
      </w:r>
      <w:r w:rsidRPr="00577AD2">
        <w:rPr>
          <w:rFonts w:ascii="Arial" w:hAnsi="Arial"/>
          <w:sz w:val="22"/>
        </w:rPr>
        <w:t xml:space="preserve"> can convert smartphones into electronic ste</w:t>
      </w:r>
      <w:r w:rsidR="005864B0">
        <w:rPr>
          <w:rFonts w:ascii="Arial" w:hAnsi="Arial"/>
          <w:sz w:val="22"/>
        </w:rPr>
        <w:t xml:space="preserve">thoscopes, ultrasound machines, </w:t>
      </w:r>
      <w:r w:rsidRPr="00577AD2">
        <w:rPr>
          <w:rFonts w:ascii="Arial" w:hAnsi="Arial"/>
          <w:sz w:val="22"/>
        </w:rPr>
        <w:t xml:space="preserve">blood test platforms, and other </w:t>
      </w:r>
      <w:r w:rsidR="00221EF3" w:rsidRPr="00577AD2">
        <w:rPr>
          <w:rFonts w:ascii="Arial" w:hAnsi="Arial"/>
          <w:sz w:val="22"/>
        </w:rPr>
        <w:t xml:space="preserve">advanced </w:t>
      </w:r>
      <w:r w:rsidRPr="00577AD2">
        <w:rPr>
          <w:rFonts w:ascii="Arial" w:hAnsi="Arial"/>
          <w:sz w:val="22"/>
        </w:rPr>
        <w:t>medical devices.</w:t>
      </w:r>
      <w:r w:rsidRPr="00577AD2">
        <w:rPr>
          <w:rStyle w:val="EndnoteReference"/>
          <w:rFonts w:ascii="Arial" w:hAnsi="Arial"/>
          <w:sz w:val="22"/>
        </w:rPr>
        <w:endnoteReference w:id="4"/>
      </w:r>
      <w:r w:rsidRPr="00577AD2">
        <w:rPr>
          <w:rFonts w:ascii="Arial" w:hAnsi="Arial"/>
          <w:sz w:val="22"/>
        </w:rPr>
        <w:t xml:space="preserve"> </w:t>
      </w:r>
      <w:r w:rsidR="00654CF8">
        <w:rPr>
          <w:rFonts w:ascii="Arial" w:hAnsi="Arial"/>
          <w:sz w:val="22"/>
        </w:rPr>
        <w:t xml:space="preserve">Thus, </w:t>
      </w:r>
      <w:r w:rsidR="00526453">
        <w:rPr>
          <w:rFonts w:ascii="Arial" w:hAnsi="Arial"/>
          <w:sz w:val="22"/>
        </w:rPr>
        <w:t>m</w:t>
      </w:r>
      <w:r w:rsidRPr="00577AD2">
        <w:rPr>
          <w:rFonts w:ascii="Arial" w:hAnsi="Arial"/>
          <w:sz w:val="22"/>
        </w:rPr>
        <w:t xml:space="preserve">obile devices are not merely fancy telephones or portable entertainment </w:t>
      </w:r>
      <w:r w:rsidR="0094479A">
        <w:rPr>
          <w:rFonts w:ascii="Arial" w:hAnsi="Arial"/>
          <w:sz w:val="22"/>
        </w:rPr>
        <w:t>system</w:t>
      </w:r>
      <w:r w:rsidRPr="00577AD2">
        <w:rPr>
          <w:rFonts w:ascii="Arial" w:hAnsi="Arial"/>
          <w:sz w:val="22"/>
        </w:rPr>
        <w:t xml:space="preserve">s; they are powerful hand-held computers that can be configured </w:t>
      </w:r>
      <w:r w:rsidR="00D55B66" w:rsidRPr="00577AD2">
        <w:rPr>
          <w:rFonts w:ascii="Arial" w:hAnsi="Arial"/>
          <w:sz w:val="22"/>
        </w:rPr>
        <w:t xml:space="preserve">with hardware and software </w:t>
      </w:r>
      <w:r w:rsidRPr="00577AD2">
        <w:rPr>
          <w:rFonts w:ascii="Arial" w:hAnsi="Arial"/>
          <w:sz w:val="22"/>
        </w:rPr>
        <w:t xml:space="preserve">into a staggering array of health-related </w:t>
      </w:r>
      <w:r w:rsidR="00221EF3" w:rsidRPr="00577AD2">
        <w:rPr>
          <w:rFonts w:ascii="Arial" w:hAnsi="Arial"/>
          <w:sz w:val="22"/>
        </w:rPr>
        <w:t xml:space="preserve">electronic </w:t>
      </w:r>
      <w:r w:rsidR="002E48E5">
        <w:rPr>
          <w:rFonts w:ascii="Arial" w:hAnsi="Arial"/>
          <w:sz w:val="22"/>
        </w:rPr>
        <w:t>wizardry</w:t>
      </w:r>
      <w:r w:rsidR="00221EF3" w:rsidRPr="00577AD2">
        <w:rPr>
          <w:rFonts w:ascii="Arial" w:hAnsi="Arial"/>
          <w:sz w:val="22"/>
        </w:rPr>
        <w:t>.</w:t>
      </w:r>
    </w:p>
    <w:tbl>
      <w:tblPr>
        <w:tblStyle w:val="LightList"/>
        <w:tblpPr w:leftFromText="187" w:rightFromText="187" w:vertAnchor="text" w:horzAnchor="margin" w:tblpXSpec="right" w:tblpY="316"/>
        <w:tblOverlap w:val="never"/>
        <w:tblW w:w="5597" w:type="dxa"/>
        <w:tblLook w:val="0420" w:firstRow="1" w:lastRow="0" w:firstColumn="0" w:lastColumn="0" w:noHBand="0" w:noVBand="1"/>
      </w:tblPr>
      <w:tblGrid>
        <w:gridCol w:w="1631"/>
        <w:gridCol w:w="1857"/>
        <w:gridCol w:w="1814"/>
        <w:gridCol w:w="295"/>
      </w:tblGrid>
      <w:tr w:rsidR="0061740F" w:rsidRPr="00577AD2" w:rsidTr="00936AAD">
        <w:trPr>
          <w:cnfStyle w:val="100000000000" w:firstRow="1" w:lastRow="0" w:firstColumn="0" w:lastColumn="0" w:oddVBand="0" w:evenVBand="0" w:oddHBand="0" w:evenHBand="0" w:firstRowFirstColumn="0" w:firstRowLastColumn="0" w:lastRowFirstColumn="0" w:lastRowLastColumn="0"/>
          <w:trHeight w:val="269"/>
        </w:trPr>
        <w:tc>
          <w:tcPr>
            <w:tcW w:w="5597" w:type="dxa"/>
            <w:gridSpan w:val="4"/>
            <w:tcBorders>
              <w:top w:val="nil"/>
              <w:left w:val="nil"/>
              <w:bottom w:val="single" w:sz="18" w:space="0" w:color="auto"/>
              <w:right w:val="nil"/>
            </w:tcBorders>
            <w:shd w:val="clear" w:color="auto" w:fill="auto"/>
          </w:tcPr>
          <w:p w:rsidR="0061740F" w:rsidRPr="00577AD2" w:rsidRDefault="0061740F" w:rsidP="0061740F">
            <w:pPr>
              <w:jc w:val="center"/>
              <w:rPr>
                <w:rFonts w:ascii="Arial" w:eastAsia="Times New Roman" w:hAnsi="Arial" w:cs="Arial"/>
                <w:kern w:val="24"/>
                <w:sz w:val="22"/>
                <w:szCs w:val="24"/>
              </w:rPr>
            </w:pPr>
            <w:r w:rsidRPr="00232A1A">
              <w:rPr>
                <w:rFonts w:ascii="Arial" w:hAnsi="Arial"/>
                <w:color w:val="auto"/>
                <w:sz w:val="20"/>
                <w:szCs w:val="20"/>
              </w:rPr>
              <w:t>Figure 1.</w:t>
            </w:r>
            <w:r w:rsidRPr="00A1745F">
              <w:rPr>
                <w:rFonts w:ascii="Arial" w:hAnsi="Arial"/>
                <w:color w:val="auto"/>
                <w:sz w:val="22"/>
              </w:rPr>
              <w:t xml:space="preserve"> </w:t>
            </w:r>
            <w:r w:rsidRPr="00577AD2">
              <w:rPr>
                <w:rFonts w:ascii="Arial" w:hAnsi="Arial"/>
                <w:sz w:val="22"/>
              </w:rPr>
              <w:t>1.</w:t>
            </w:r>
            <w:r>
              <w:rPr>
                <w:rFonts w:ascii="Arial" w:hAnsi="Arial"/>
                <w:sz w:val="22"/>
              </w:rPr>
              <w:t>F</w:t>
            </w:r>
          </w:p>
        </w:tc>
      </w:tr>
      <w:tr w:rsidR="0061740F" w:rsidRPr="00577AD2" w:rsidTr="00936AAD">
        <w:trPr>
          <w:cnfStyle w:val="000000100000" w:firstRow="0" w:lastRow="0" w:firstColumn="0" w:lastColumn="0" w:oddVBand="0" w:evenVBand="0" w:oddHBand="1" w:evenHBand="0" w:firstRowFirstColumn="0" w:firstRowLastColumn="0" w:lastRowFirstColumn="0" w:lastRowLastColumn="0"/>
          <w:trHeight w:val="774"/>
        </w:trPr>
        <w:tc>
          <w:tcPr>
            <w:tcW w:w="1631" w:type="dxa"/>
            <w:tcBorders>
              <w:top w:val="single" w:sz="18" w:space="0" w:color="auto"/>
              <w:left w:val="single" w:sz="18" w:space="0" w:color="auto"/>
              <w:bottom w:val="nil"/>
              <w:right w:val="nil"/>
            </w:tcBorders>
            <w:shd w:val="clear" w:color="auto" w:fill="auto"/>
            <w:hideMark/>
          </w:tcPr>
          <w:p w:rsidR="0061740F" w:rsidRPr="00936AAD" w:rsidRDefault="0061740F" w:rsidP="0061740F">
            <w:pPr>
              <w:jc w:val="center"/>
              <w:rPr>
                <w:rFonts w:ascii="Arial" w:eastAsia="Times New Roman" w:hAnsi="Arial" w:cs="Arial"/>
                <w:sz w:val="18"/>
                <w:szCs w:val="18"/>
              </w:rPr>
            </w:pPr>
          </w:p>
        </w:tc>
        <w:tc>
          <w:tcPr>
            <w:tcW w:w="1857" w:type="dxa"/>
            <w:tcBorders>
              <w:top w:val="single" w:sz="18" w:space="0" w:color="auto"/>
              <w:left w:val="nil"/>
              <w:bottom w:val="single" w:sz="8" w:space="0" w:color="auto"/>
              <w:right w:val="nil"/>
            </w:tcBorders>
            <w:shd w:val="clear" w:color="auto" w:fill="auto"/>
            <w:vAlign w:val="center"/>
            <w:hideMark/>
          </w:tcPr>
          <w:p w:rsidR="0061740F" w:rsidRPr="00936AAD" w:rsidRDefault="0061740F" w:rsidP="0061740F">
            <w:pPr>
              <w:spacing w:line="220" w:lineRule="exact"/>
              <w:rPr>
                <w:rFonts w:ascii="Arial" w:eastAsia="Times New Roman" w:hAnsi="Arial" w:cs="Arial"/>
                <w:b/>
                <w:sz w:val="18"/>
                <w:szCs w:val="18"/>
              </w:rPr>
            </w:pPr>
            <w:r w:rsidRPr="00936AAD">
              <w:rPr>
                <w:rFonts w:ascii="Arial" w:eastAsia="Times New Roman" w:hAnsi="Arial" w:cs="Arial"/>
                <w:kern w:val="24"/>
                <w:sz w:val="18"/>
                <w:szCs w:val="18"/>
              </w:rPr>
              <w:t>Research covered by Common Rule</w:t>
            </w:r>
            <w:r w:rsidRPr="00936AAD">
              <w:rPr>
                <w:rFonts w:ascii="Arial" w:eastAsia="Times New Roman" w:hAnsi="Arial" w:cs="Arial"/>
                <w:kern w:val="24"/>
                <w:sz w:val="18"/>
                <w:szCs w:val="18"/>
              </w:rPr>
              <w:br/>
            </w:r>
          </w:p>
        </w:tc>
        <w:tc>
          <w:tcPr>
            <w:tcW w:w="1814" w:type="dxa"/>
            <w:tcBorders>
              <w:top w:val="single" w:sz="18" w:space="0" w:color="auto"/>
              <w:left w:val="nil"/>
              <w:bottom w:val="single" w:sz="8" w:space="0" w:color="auto"/>
              <w:right w:val="nil"/>
            </w:tcBorders>
            <w:shd w:val="clear" w:color="auto" w:fill="auto"/>
            <w:vAlign w:val="center"/>
            <w:hideMark/>
          </w:tcPr>
          <w:p w:rsidR="0061740F" w:rsidRPr="00936AAD" w:rsidRDefault="0061740F" w:rsidP="0061740F">
            <w:pPr>
              <w:spacing w:line="220" w:lineRule="exact"/>
              <w:rPr>
                <w:rFonts w:ascii="Arial" w:eastAsia="Times New Roman" w:hAnsi="Arial" w:cs="Arial"/>
                <w:b/>
                <w:sz w:val="18"/>
                <w:szCs w:val="18"/>
              </w:rPr>
            </w:pPr>
            <w:r w:rsidRPr="00936AAD">
              <w:rPr>
                <w:rFonts w:ascii="Arial" w:eastAsia="Times New Roman" w:hAnsi="Arial" w:cs="Arial"/>
                <w:kern w:val="24"/>
                <w:sz w:val="18"/>
                <w:szCs w:val="18"/>
              </w:rPr>
              <w:t>Research NOT covered by Common Rule</w:t>
            </w:r>
          </w:p>
        </w:tc>
        <w:tc>
          <w:tcPr>
            <w:tcW w:w="295" w:type="dxa"/>
            <w:tcBorders>
              <w:top w:val="single" w:sz="18" w:space="0" w:color="auto"/>
              <w:left w:val="nil"/>
              <w:bottom w:val="nil"/>
              <w:right w:val="single" w:sz="18" w:space="0" w:color="auto"/>
            </w:tcBorders>
            <w:shd w:val="clear" w:color="auto" w:fill="auto"/>
          </w:tcPr>
          <w:p w:rsidR="0061740F" w:rsidRPr="00936AAD" w:rsidRDefault="0061740F" w:rsidP="0061740F">
            <w:pPr>
              <w:jc w:val="center"/>
              <w:rPr>
                <w:rFonts w:ascii="Arial" w:eastAsia="Times New Roman" w:hAnsi="Arial" w:cs="Arial"/>
                <w:kern w:val="24"/>
                <w:sz w:val="16"/>
                <w:szCs w:val="16"/>
              </w:rPr>
            </w:pPr>
          </w:p>
        </w:tc>
      </w:tr>
      <w:tr w:rsidR="0061740F" w:rsidRPr="00577AD2" w:rsidTr="00936AAD">
        <w:trPr>
          <w:trHeight w:val="1231"/>
        </w:trPr>
        <w:tc>
          <w:tcPr>
            <w:tcW w:w="1631" w:type="dxa"/>
            <w:tcBorders>
              <w:top w:val="nil"/>
              <w:left w:val="single" w:sz="18" w:space="0" w:color="auto"/>
              <w:bottom w:val="nil"/>
              <w:right w:val="single" w:sz="8" w:space="0" w:color="auto"/>
            </w:tcBorders>
            <w:vAlign w:val="center"/>
            <w:hideMark/>
          </w:tcPr>
          <w:p w:rsidR="0061740F" w:rsidRPr="00936AAD" w:rsidRDefault="0061740F" w:rsidP="0061740F">
            <w:pPr>
              <w:spacing w:line="220" w:lineRule="exact"/>
              <w:rPr>
                <w:rFonts w:ascii="Arial" w:eastAsia="Times New Roman" w:hAnsi="Arial" w:cs="Arial"/>
                <w:sz w:val="18"/>
                <w:szCs w:val="18"/>
              </w:rPr>
            </w:pPr>
            <w:r w:rsidRPr="00936AAD">
              <w:rPr>
                <w:rFonts w:ascii="Arial" w:eastAsia="Times New Roman" w:hAnsi="Arial" w:cs="Arial"/>
                <w:kern w:val="24"/>
                <w:sz w:val="18"/>
                <w:szCs w:val="18"/>
              </w:rPr>
              <w:t xml:space="preserve">Data gathered for research </w:t>
            </w:r>
          </w:p>
        </w:tc>
        <w:tc>
          <w:tcPr>
            <w:tcW w:w="18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61740F" w:rsidRPr="00936AAD" w:rsidRDefault="0061740F" w:rsidP="0061740F">
            <w:pPr>
              <w:spacing w:line="220" w:lineRule="exact"/>
              <w:rPr>
                <w:rFonts w:ascii="Arial" w:eastAsia="Times New Roman" w:hAnsi="Arial" w:cs="Arial"/>
                <w:sz w:val="18"/>
                <w:szCs w:val="18"/>
              </w:rPr>
            </w:pPr>
            <w:r w:rsidRPr="00936AAD">
              <w:rPr>
                <w:rFonts w:ascii="Arial" w:eastAsia="Times New Roman" w:hAnsi="Arial" w:cs="Arial"/>
                <w:kern w:val="24"/>
                <w:sz w:val="18"/>
                <w:szCs w:val="18"/>
              </w:rPr>
              <w:t>Use of mHealth by traditional researchers</w:t>
            </w:r>
          </w:p>
        </w:tc>
        <w:tc>
          <w:tcPr>
            <w:tcW w:w="1814" w:type="dxa"/>
            <w:tcBorders>
              <w:top w:val="single" w:sz="8" w:space="0" w:color="auto"/>
              <w:left w:val="single" w:sz="8" w:space="0" w:color="auto"/>
              <w:bottom w:val="single" w:sz="8" w:space="0" w:color="auto"/>
              <w:right w:val="single" w:sz="8" w:space="0" w:color="auto"/>
            </w:tcBorders>
            <w:vAlign w:val="center"/>
            <w:hideMark/>
          </w:tcPr>
          <w:p w:rsidR="0061740F" w:rsidRPr="00936AAD" w:rsidRDefault="0061740F" w:rsidP="0061740F">
            <w:pPr>
              <w:spacing w:line="220" w:lineRule="exact"/>
              <w:rPr>
                <w:rFonts w:ascii="Arial" w:eastAsia="Times New Roman" w:hAnsi="Arial" w:cs="Arial"/>
                <w:kern w:val="24"/>
                <w:sz w:val="18"/>
                <w:szCs w:val="18"/>
              </w:rPr>
            </w:pPr>
            <w:r w:rsidRPr="00936AAD">
              <w:rPr>
                <w:rFonts w:ascii="Arial" w:eastAsia="Times New Roman" w:hAnsi="Arial" w:cs="Arial"/>
                <w:kern w:val="24"/>
                <w:sz w:val="18"/>
                <w:szCs w:val="18"/>
              </w:rPr>
              <w:t>Independent research</w:t>
            </w:r>
          </w:p>
          <w:p w:rsidR="0061740F" w:rsidRPr="00936AAD" w:rsidRDefault="0061740F" w:rsidP="0061740F">
            <w:pPr>
              <w:spacing w:before="120" w:after="120" w:line="220" w:lineRule="exact"/>
              <w:rPr>
                <w:rFonts w:ascii="Arial" w:eastAsia="Times New Roman" w:hAnsi="Arial" w:cs="Arial"/>
                <w:kern w:val="24"/>
                <w:sz w:val="18"/>
                <w:szCs w:val="18"/>
              </w:rPr>
            </w:pPr>
            <w:r w:rsidRPr="00936AAD">
              <w:rPr>
                <w:rFonts w:ascii="Arial" w:eastAsia="Times New Roman" w:hAnsi="Arial" w:cs="Arial"/>
                <w:kern w:val="24"/>
                <w:sz w:val="18"/>
                <w:szCs w:val="18"/>
              </w:rPr>
              <w:t>Patient-enabled research</w:t>
            </w:r>
          </w:p>
          <w:p w:rsidR="0061740F" w:rsidRPr="00936AAD" w:rsidRDefault="0061740F" w:rsidP="0061740F">
            <w:pPr>
              <w:spacing w:line="220" w:lineRule="exact"/>
              <w:rPr>
                <w:rFonts w:ascii="Arial" w:eastAsia="Times New Roman" w:hAnsi="Arial" w:cs="Arial"/>
                <w:sz w:val="18"/>
                <w:szCs w:val="18"/>
              </w:rPr>
            </w:pPr>
            <w:r w:rsidRPr="00936AAD">
              <w:rPr>
                <w:rFonts w:ascii="Arial" w:eastAsia="Times New Roman" w:hAnsi="Arial" w:cs="Arial"/>
                <w:kern w:val="24"/>
                <w:sz w:val="18"/>
                <w:szCs w:val="18"/>
              </w:rPr>
              <w:t>Citizen science</w:t>
            </w:r>
          </w:p>
        </w:tc>
        <w:tc>
          <w:tcPr>
            <w:tcW w:w="295" w:type="dxa"/>
            <w:tcBorders>
              <w:top w:val="nil"/>
              <w:left w:val="single" w:sz="8" w:space="0" w:color="auto"/>
              <w:bottom w:val="nil"/>
              <w:right w:val="single" w:sz="18" w:space="0" w:color="auto"/>
            </w:tcBorders>
          </w:tcPr>
          <w:p w:rsidR="0061740F" w:rsidRPr="00936AAD" w:rsidRDefault="0061740F" w:rsidP="0061740F">
            <w:pPr>
              <w:jc w:val="center"/>
              <w:rPr>
                <w:rFonts w:ascii="Arial" w:eastAsia="Times New Roman" w:hAnsi="Arial" w:cs="Arial"/>
                <w:kern w:val="24"/>
                <w:sz w:val="16"/>
                <w:szCs w:val="16"/>
              </w:rPr>
            </w:pPr>
          </w:p>
        </w:tc>
      </w:tr>
      <w:tr w:rsidR="0061740F" w:rsidRPr="00577AD2" w:rsidTr="00936AAD">
        <w:trPr>
          <w:cnfStyle w:val="000000100000" w:firstRow="0" w:lastRow="0" w:firstColumn="0" w:lastColumn="0" w:oddVBand="0" w:evenVBand="0" w:oddHBand="1" w:evenHBand="0" w:firstRowFirstColumn="0" w:firstRowLastColumn="0" w:lastRowFirstColumn="0" w:lastRowLastColumn="0"/>
          <w:trHeight w:val="961"/>
        </w:trPr>
        <w:tc>
          <w:tcPr>
            <w:tcW w:w="1631" w:type="dxa"/>
            <w:tcBorders>
              <w:top w:val="nil"/>
              <w:left w:val="single" w:sz="18" w:space="0" w:color="auto"/>
              <w:bottom w:val="nil"/>
              <w:right w:val="single" w:sz="8" w:space="0" w:color="auto"/>
            </w:tcBorders>
            <w:vAlign w:val="center"/>
            <w:hideMark/>
          </w:tcPr>
          <w:p w:rsidR="0061740F" w:rsidRPr="00936AAD" w:rsidRDefault="0061740F" w:rsidP="0061740F">
            <w:pPr>
              <w:spacing w:line="220" w:lineRule="exact"/>
              <w:rPr>
                <w:rFonts w:ascii="Arial" w:eastAsia="Times New Roman" w:hAnsi="Arial" w:cs="Arial"/>
                <w:sz w:val="18"/>
                <w:szCs w:val="18"/>
              </w:rPr>
            </w:pPr>
            <w:r w:rsidRPr="00936AAD">
              <w:rPr>
                <w:rFonts w:ascii="Arial" w:eastAsia="Times New Roman" w:hAnsi="Arial" w:cs="Arial"/>
                <w:kern w:val="24"/>
                <w:sz w:val="18"/>
                <w:szCs w:val="18"/>
              </w:rPr>
              <w:t xml:space="preserve">Data </w:t>
            </w:r>
            <w:r w:rsidRPr="00936AAD">
              <w:rPr>
                <w:rFonts w:ascii="Arial" w:eastAsia="Times New Roman" w:hAnsi="Arial" w:cs="Arial"/>
                <w:bCs/>
                <w:kern w:val="24"/>
                <w:sz w:val="18"/>
                <w:szCs w:val="18"/>
              </w:rPr>
              <w:t>NOT</w:t>
            </w:r>
            <w:r w:rsidRPr="00936AAD">
              <w:rPr>
                <w:rFonts w:ascii="Arial" w:eastAsia="Times New Roman" w:hAnsi="Arial" w:cs="Arial"/>
                <w:kern w:val="24"/>
                <w:sz w:val="18"/>
                <w:szCs w:val="18"/>
              </w:rPr>
              <w:t xml:space="preserve"> gathered for research </w:t>
            </w:r>
          </w:p>
        </w:tc>
        <w:tc>
          <w:tcPr>
            <w:tcW w:w="18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61740F" w:rsidRPr="00936AAD" w:rsidRDefault="0061740F" w:rsidP="005B6202">
            <w:pPr>
              <w:spacing w:line="220" w:lineRule="exact"/>
              <w:rPr>
                <w:rFonts w:ascii="Arial" w:eastAsia="Times New Roman" w:hAnsi="Arial" w:cs="Arial"/>
                <w:sz w:val="18"/>
                <w:szCs w:val="18"/>
              </w:rPr>
            </w:pPr>
            <w:r w:rsidRPr="00936AAD">
              <w:rPr>
                <w:rFonts w:ascii="Arial" w:eastAsia="Times New Roman" w:hAnsi="Arial" w:cs="Arial"/>
                <w:kern w:val="24"/>
                <w:sz w:val="18"/>
                <w:szCs w:val="18"/>
              </w:rPr>
              <w:t xml:space="preserve">Research use of health app data </w:t>
            </w:r>
            <w:r w:rsidR="005B6202">
              <w:rPr>
                <w:rFonts w:ascii="Arial" w:eastAsia="Times New Roman" w:hAnsi="Arial" w:cs="Arial"/>
                <w:kern w:val="24"/>
                <w:sz w:val="18"/>
                <w:szCs w:val="18"/>
              </w:rPr>
              <w:t>collected</w:t>
            </w:r>
            <w:r w:rsidRPr="00936AAD">
              <w:rPr>
                <w:rFonts w:ascii="Arial" w:eastAsia="Times New Roman" w:hAnsi="Arial" w:cs="Arial"/>
                <w:kern w:val="24"/>
                <w:sz w:val="18"/>
                <w:szCs w:val="18"/>
              </w:rPr>
              <w:t xml:space="preserve"> for a clinical purpose</w:t>
            </w:r>
          </w:p>
        </w:tc>
        <w:tc>
          <w:tcPr>
            <w:tcW w:w="1814" w:type="dxa"/>
            <w:tcBorders>
              <w:top w:val="single" w:sz="8" w:space="0" w:color="auto"/>
              <w:left w:val="single" w:sz="8" w:space="0" w:color="auto"/>
              <w:bottom w:val="single" w:sz="8" w:space="0" w:color="auto"/>
              <w:right w:val="single" w:sz="8" w:space="0" w:color="auto"/>
            </w:tcBorders>
            <w:vAlign w:val="center"/>
            <w:hideMark/>
          </w:tcPr>
          <w:p w:rsidR="0061740F" w:rsidRPr="00936AAD" w:rsidRDefault="0061740F" w:rsidP="005B6202">
            <w:pPr>
              <w:spacing w:line="220" w:lineRule="exact"/>
              <w:rPr>
                <w:rFonts w:ascii="Arial" w:eastAsia="Times New Roman" w:hAnsi="Arial" w:cs="Arial"/>
                <w:sz w:val="18"/>
                <w:szCs w:val="18"/>
              </w:rPr>
            </w:pPr>
            <w:r w:rsidRPr="00936AAD">
              <w:rPr>
                <w:rFonts w:ascii="Arial" w:eastAsia="Times New Roman" w:hAnsi="Arial" w:cs="Arial"/>
                <w:kern w:val="24"/>
                <w:sz w:val="18"/>
                <w:szCs w:val="18"/>
              </w:rPr>
              <w:t xml:space="preserve">Research use of health app data </w:t>
            </w:r>
            <w:r w:rsidR="005B6202">
              <w:rPr>
                <w:rFonts w:ascii="Arial" w:eastAsia="Times New Roman" w:hAnsi="Arial" w:cs="Arial"/>
                <w:kern w:val="24"/>
                <w:sz w:val="18"/>
                <w:szCs w:val="18"/>
              </w:rPr>
              <w:t>collected</w:t>
            </w:r>
            <w:r w:rsidRPr="00936AAD">
              <w:rPr>
                <w:rFonts w:ascii="Arial" w:eastAsia="Times New Roman" w:hAnsi="Arial" w:cs="Arial"/>
                <w:kern w:val="24"/>
                <w:sz w:val="18"/>
                <w:szCs w:val="18"/>
              </w:rPr>
              <w:t xml:space="preserve"> for another purpose</w:t>
            </w:r>
          </w:p>
        </w:tc>
        <w:tc>
          <w:tcPr>
            <w:tcW w:w="295" w:type="dxa"/>
            <w:tcBorders>
              <w:top w:val="nil"/>
              <w:left w:val="single" w:sz="8" w:space="0" w:color="auto"/>
              <w:bottom w:val="nil"/>
              <w:right w:val="single" w:sz="18" w:space="0" w:color="auto"/>
            </w:tcBorders>
          </w:tcPr>
          <w:p w:rsidR="0061740F" w:rsidRPr="00936AAD" w:rsidRDefault="0061740F" w:rsidP="0061740F">
            <w:pPr>
              <w:jc w:val="center"/>
              <w:rPr>
                <w:rFonts w:ascii="Arial" w:eastAsia="Times New Roman" w:hAnsi="Arial" w:cs="Arial"/>
                <w:kern w:val="24"/>
                <w:sz w:val="16"/>
                <w:szCs w:val="16"/>
              </w:rPr>
            </w:pPr>
          </w:p>
        </w:tc>
      </w:tr>
      <w:tr w:rsidR="0061740F" w:rsidRPr="00936AAD" w:rsidTr="00936AAD">
        <w:trPr>
          <w:trHeight w:val="79"/>
        </w:trPr>
        <w:tc>
          <w:tcPr>
            <w:tcW w:w="1631" w:type="dxa"/>
            <w:tcBorders>
              <w:top w:val="nil"/>
              <w:left w:val="single" w:sz="18" w:space="0" w:color="auto"/>
              <w:bottom w:val="single" w:sz="18" w:space="0" w:color="auto"/>
              <w:right w:val="nil"/>
            </w:tcBorders>
            <w:vAlign w:val="center"/>
          </w:tcPr>
          <w:p w:rsidR="0061740F" w:rsidRPr="00936AAD" w:rsidRDefault="0061740F" w:rsidP="0061740F">
            <w:pPr>
              <w:jc w:val="center"/>
              <w:rPr>
                <w:rFonts w:ascii="Arial" w:eastAsia="Times New Roman" w:hAnsi="Arial" w:cs="Arial"/>
                <w:kern w:val="24"/>
                <w:sz w:val="16"/>
                <w:szCs w:val="16"/>
              </w:rPr>
            </w:pPr>
          </w:p>
        </w:tc>
        <w:tc>
          <w:tcPr>
            <w:tcW w:w="1857" w:type="dxa"/>
            <w:tcBorders>
              <w:top w:val="single" w:sz="8" w:space="0" w:color="auto"/>
              <w:left w:val="nil"/>
              <w:bottom w:val="single" w:sz="18" w:space="0" w:color="auto"/>
              <w:right w:val="nil"/>
            </w:tcBorders>
            <w:shd w:val="clear" w:color="auto" w:fill="auto"/>
            <w:vAlign w:val="center"/>
          </w:tcPr>
          <w:p w:rsidR="0061740F" w:rsidRPr="00936AAD" w:rsidRDefault="0061740F" w:rsidP="0061740F">
            <w:pPr>
              <w:jc w:val="center"/>
              <w:rPr>
                <w:rFonts w:ascii="Arial" w:eastAsia="Times New Roman" w:hAnsi="Arial" w:cs="Arial"/>
                <w:color w:val="808080" w:themeColor="background1" w:themeShade="80"/>
                <w:kern w:val="24"/>
                <w:sz w:val="16"/>
                <w:szCs w:val="16"/>
              </w:rPr>
            </w:pPr>
          </w:p>
        </w:tc>
        <w:tc>
          <w:tcPr>
            <w:tcW w:w="1814" w:type="dxa"/>
            <w:tcBorders>
              <w:top w:val="single" w:sz="8" w:space="0" w:color="auto"/>
              <w:left w:val="nil"/>
              <w:bottom w:val="single" w:sz="18" w:space="0" w:color="auto"/>
              <w:right w:val="nil"/>
            </w:tcBorders>
            <w:vAlign w:val="center"/>
          </w:tcPr>
          <w:p w:rsidR="0061740F" w:rsidRPr="00936AAD" w:rsidRDefault="0061740F" w:rsidP="0061740F">
            <w:pPr>
              <w:jc w:val="center"/>
              <w:rPr>
                <w:rFonts w:ascii="Arial" w:eastAsia="Times New Roman" w:hAnsi="Arial" w:cs="Arial"/>
                <w:kern w:val="24"/>
                <w:sz w:val="16"/>
                <w:szCs w:val="16"/>
              </w:rPr>
            </w:pPr>
          </w:p>
        </w:tc>
        <w:tc>
          <w:tcPr>
            <w:tcW w:w="295" w:type="dxa"/>
            <w:tcBorders>
              <w:top w:val="nil"/>
              <w:left w:val="nil"/>
              <w:bottom w:val="single" w:sz="18" w:space="0" w:color="auto"/>
              <w:right w:val="single" w:sz="18" w:space="0" w:color="auto"/>
            </w:tcBorders>
          </w:tcPr>
          <w:p w:rsidR="0061740F" w:rsidRPr="00936AAD" w:rsidRDefault="0061740F" w:rsidP="0061740F">
            <w:pPr>
              <w:jc w:val="center"/>
              <w:rPr>
                <w:rFonts w:ascii="Arial" w:eastAsia="Times New Roman" w:hAnsi="Arial" w:cs="Arial"/>
                <w:kern w:val="24"/>
                <w:sz w:val="16"/>
                <w:szCs w:val="16"/>
              </w:rPr>
            </w:pPr>
          </w:p>
        </w:tc>
      </w:tr>
    </w:tbl>
    <w:p w:rsidR="00D55B66" w:rsidRPr="00577AD2" w:rsidRDefault="00FF43E8" w:rsidP="00423BA8">
      <w:pPr>
        <w:spacing w:after="120" w:line="240" w:lineRule="exact"/>
        <w:jc w:val="both"/>
        <w:rPr>
          <w:rFonts w:ascii="Arial" w:hAnsi="Arial"/>
          <w:sz w:val="22"/>
        </w:rPr>
      </w:pPr>
      <w:r>
        <w:rPr>
          <w:rFonts w:ascii="Arial" w:hAnsi="Arial"/>
          <w:sz w:val="22"/>
        </w:rPr>
        <w:t>Because of t</w:t>
      </w:r>
      <w:r w:rsidR="00D52823" w:rsidRPr="00577AD2">
        <w:rPr>
          <w:rFonts w:ascii="Arial" w:hAnsi="Arial"/>
          <w:sz w:val="22"/>
        </w:rPr>
        <w:t xml:space="preserve">he ubiquity of mobile devices, the popularity of health apps, the range of </w:t>
      </w:r>
      <w:r w:rsidR="00EA3D10" w:rsidRPr="00577AD2">
        <w:rPr>
          <w:rFonts w:ascii="Arial" w:hAnsi="Arial"/>
          <w:sz w:val="22"/>
        </w:rPr>
        <w:t xml:space="preserve">collectible </w:t>
      </w:r>
      <w:r w:rsidR="00D52823" w:rsidRPr="00577AD2">
        <w:rPr>
          <w:rFonts w:ascii="Arial" w:hAnsi="Arial"/>
          <w:sz w:val="22"/>
        </w:rPr>
        <w:t>health information, and the interactive capa</w:t>
      </w:r>
      <w:r w:rsidR="00016B17" w:rsidRPr="00577AD2">
        <w:rPr>
          <w:rFonts w:ascii="Arial" w:hAnsi="Arial"/>
          <w:sz w:val="22"/>
        </w:rPr>
        <w:t>city</w:t>
      </w:r>
      <w:r w:rsidR="0098037F">
        <w:rPr>
          <w:rFonts w:ascii="Arial" w:hAnsi="Arial"/>
          <w:sz w:val="22"/>
        </w:rPr>
        <w:t xml:space="preserve"> of the I</w:t>
      </w:r>
      <w:r w:rsidR="00D52823" w:rsidRPr="00577AD2">
        <w:rPr>
          <w:rFonts w:ascii="Arial" w:hAnsi="Arial"/>
          <w:sz w:val="22"/>
        </w:rPr>
        <w:t>nternet</w:t>
      </w:r>
      <w:r w:rsidR="0094479A">
        <w:rPr>
          <w:rFonts w:ascii="Arial" w:hAnsi="Arial"/>
          <w:sz w:val="22"/>
        </w:rPr>
        <w:t>,</w:t>
      </w:r>
      <w:r>
        <w:rPr>
          <w:rFonts w:ascii="Arial" w:hAnsi="Arial"/>
          <w:sz w:val="22"/>
        </w:rPr>
        <w:t xml:space="preserve"> it was</w:t>
      </w:r>
      <w:r w:rsidR="00D52823" w:rsidRPr="00577AD2">
        <w:rPr>
          <w:rFonts w:ascii="Arial" w:hAnsi="Arial"/>
          <w:sz w:val="22"/>
        </w:rPr>
        <w:t xml:space="preserve"> inevitable that mobile devices w</w:t>
      </w:r>
      <w:r>
        <w:rPr>
          <w:rFonts w:ascii="Arial" w:hAnsi="Arial"/>
          <w:sz w:val="22"/>
        </w:rPr>
        <w:t>ould begin</w:t>
      </w:r>
      <w:r w:rsidR="00D52823" w:rsidRPr="00577AD2">
        <w:rPr>
          <w:rFonts w:ascii="Arial" w:hAnsi="Arial"/>
          <w:sz w:val="22"/>
        </w:rPr>
        <w:t xml:space="preserve"> </w:t>
      </w:r>
      <w:r w:rsidR="00F1352A" w:rsidRPr="00577AD2">
        <w:rPr>
          <w:rFonts w:ascii="Arial" w:hAnsi="Arial"/>
          <w:sz w:val="22"/>
        </w:rPr>
        <w:t>play</w:t>
      </w:r>
      <w:r>
        <w:rPr>
          <w:rFonts w:ascii="Arial" w:hAnsi="Arial"/>
          <w:sz w:val="22"/>
        </w:rPr>
        <w:t>ing</w:t>
      </w:r>
      <w:r w:rsidR="00F1352A" w:rsidRPr="00577AD2">
        <w:rPr>
          <w:rFonts w:ascii="Arial" w:hAnsi="Arial"/>
          <w:sz w:val="22"/>
        </w:rPr>
        <w:t xml:space="preserve"> an </w:t>
      </w:r>
      <w:r w:rsidR="00FA4AF3" w:rsidRPr="00577AD2">
        <w:rPr>
          <w:rFonts w:ascii="Arial" w:hAnsi="Arial"/>
          <w:sz w:val="22"/>
        </w:rPr>
        <w:t xml:space="preserve">increasingly </w:t>
      </w:r>
      <w:r w:rsidR="00F1352A" w:rsidRPr="00577AD2">
        <w:rPr>
          <w:rFonts w:ascii="Arial" w:hAnsi="Arial"/>
          <w:sz w:val="22"/>
        </w:rPr>
        <w:t>important role in</w:t>
      </w:r>
      <w:r w:rsidR="00D52823" w:rsidRPr="00577AD2">
        <w:rPr>
          <w:rFonts w:ascii="Arial" w:hAnsi="Arial"/>
          <w:sz w:val="22"/>
        </w:rPr>
        <w:t xml:space="preserve"> health research.</w:t>
      </w:r>
      <w:r w:rsidR="00016B17" w:rsidRPr="00577AD2">
        <w:rPr>
          <w:rFonts w:ascii="Arial" w:hAnsi="Arial"/>
          <w:sz w:val="22"/>
        </w:rPr>
        <w:t xml:space="preserve"> </w:t>
      </w:r>
      <w:r w:rsidR="00D463A3">
        <w:rPr>
          <w:rFonts w:ascii="Arial" w:hAnsi="Arial"/>
          <w:sz w:val="22"/>
        </w:rPr>
        <w:t xml:space="preserve">The ethical, legal, and social issues raised by research using mobile devices depend on two distinguishing characteristics: </w:t>
      </w:r>
      <w:r w:rsidR="00221EF3" w:rsidRPr="00577AD2">
        <w:rPr>
          <w:rFonts w:ascii="Arial" w:hAnsi="Arial"/>
          <w:sz w:val="22"/>
        </w:rPr>
        <w:t xml:space="preserve">(1) </w:t>
      </w:r>
      <w:r>
        <w:rPr>
          <w:rFonts w:ascii="Arial" w:hAnsi="Arial"/>
          <w:sz w:val="22"/>
        </w:rPr>
        <w:t xml:space="preserve">whether </w:t>
      </w:r>
      <w:r w:rsidR="00D463A3">
        <w:rPr>
          <w:rFonts w:ascii="Arial" w:hAnsi="Arial"/>
          <w:sz w:val="22"/>
        </w:rPr>
        <w:t xml:space="preserve">the </w:t>
      </w:r>
      <w:r w:rsidR="00016B17" w:rsidRPr="00577AD2">
        <w:rPr>
          <w:rFonts w:ascii="Arial" w:hAnsi="Arial"/>
          <w:sz w:val="22"/>
        </w:rPr>
        <w:t>health information was originally collected for research</w:t>
      </w:r>
      <w:r w:rsidR="00221EF3" w:rsidRPr="00577AD2">
        <w:rPr>
          <w:rFonts w:ascii="Arial" w:hAnsi="Arial"/>
          <w:sz w:val="22"/>
        </w:rPr>
        <w:t>,</w:t>
      </w:r>
      <w:r w:rsidR="00016B17" w:rsidRPr="00577AD2">
        <w:rPr>
          <w:rFonts w:ascii="Arial" w:hAnsi="Arial"/>
          <w:sz w:val="22"/>
        </w:rPr>
        <w:t xml:space="preserve"> and </w:t>
      </w:r>
      <w:r w:rsidR="00221EF3" w:rsidRPr="00577AD2">
        <w:rPr>
          <w:rFonts w:ascii="Arial" w:hAnsi="Arial"/>
          <w:sz w:val="22"/>
        </w:rPr>
        <w:t xml:space="preserve">(2) </w:t>
      </w:r>
      <w:r w:rsidR="00016B17" w:rsidRPr="00577AD2">
        <w:rPr>
          <w:rFonts w:ascii="Arial" w:hAnsi="Arial"/>
          <w:sz w:val="22"/>
        </w:rPr>
        <w:t>whether the research is subject to the Federal Policy for Protection of Human Subjects (Common Rule)</w:t>
      </w:r>
      <w:r w:rsidR="00D463A3">
        <w:rPr>
          <w:rFonts w:ascii="Arial" w:hAnsi="Arial"/>
          <w:sz w:val="22"/>
        </w:rPr>
        <w:t xml:space="preserve"> (Figure 1)</w:t>
      </w:r>
      <w:r w:rsidR="00016B17" w:rsidRPr="00577AD2">
        <w:rPr>
          <w:rFonts w:ascii="Arial" w:hAnsi="Arial"/>
          <w:sz w:val="22"/>
        </w:rPr>
        <w:t xml:space="preserve">. </w:t>
      </w:r>
      <w:r w:rsidR="00B842E3" w:rsidRPr="00577AD2">
        <w:rPr>
          <w:rFonts w:ascii="Arial" w:hAnsi="Arial"/>
          <w:sz w:val="22"/>
        </w:rPr>
        <w:t>Research using mobile devices subject to the Common Rule is conceptually quite similar to other traditional health research</w:t>
      </w:r>
      <w:r w:rsidR="00D55B66" w:rsidRPr="00577AD2">
        <w:rPr>
          <w:rFonts w:ascii="Arial" w:hAnsi="Arial"/>
          <w:sz w:val="22"/>
        </w:rPr>
        <w:t xml:space="preserve"> because it </w:t>
      </w:r>
      <w:r w:rsidR="00D01288">
        <w:rPr>
          <w:rFonts w:ascii="Arial" w:hAnsi="Arial"/>
          <w:sz w:val="22"/>
        </w:rPr>
        <w:t xml:space="preserve">involves the </w:t>
      </w:r>
      <w:r w:rsidR="00D55B66" w:rsidRPr="00577AD2">
        <w:rPr>
          <w:rFonts w:ascii="Arial" w:hAnsi="Arial"/>
          <w:sz w:val="22"/>
        </w:rPr>
        <w:t>c</w:t>
      </w:r>
      <w:r w:rsidR="00F1352A" w:rsidRPr="00577AD2">
        <w:rPr>
          <w:rFonts w:ascii="Arial" w:hAnsi="Arial"/>
          <w:sz w:val="22"/>
        </w:rPr>
        <w:t>ollect</w:t>
      </w:r>
      <w:r w:rsidR="00D01288">
        <w:rPr>
          <w:rFonts w:ascii="Arial" w:hAnsi="Arial"/>
          <w:sz w:val="22"/>
        </w:rPr>
        <w:t>ion</w:t>
      </w:r>
      <w:r w:rsidR="00D55B66" w:rsidRPr="00577AD2">
        <w:rPr>
          <w:rFonts w:ascii="Arial" w:hAnsi="Arial"/>
          <w:sz w:val="22"/>
        </w:rPr>
        <w:t>, analy</w:t>
      </w:r>
      <w:r w:rsidR="00D01288">
        <w:rPr>
          <w:rFonts w:ascii="Arial" w:hAnsi="Arial"/>
          <w:sz w:val="22"/>
        </w:rPr>
        <w:t>si</w:t>
      </w:r>
      <w:r w:rsidR="00D55B66" w:rsidRPr="00577AD2">
        <w:rPr>
          <w:rFonts w:ascii="Arial" w:hAnsi="Arial"/>
          <w:sz w:val="22"/>
        </w:rPr>
        <w:t>s, stor</w:t>
      </w:r>
      <w:r w:rsidR="00D01288">
        <w:rPr>
          <w:rFonts w:ascii="Arial" w:hAnsi="Arial"/>
          <w:sz w:val="22"/>
        </w:rPr>
        <w:t>ag</w:t>
      </w:r>
      <w:r w:rsidR="00D55B66" w:rsidRPr="00577AD2">
        <w:rPr>
          <w:rFonts w:ascii="Arial" w:hAnsi="Arial"/>
          <w:sz w:val="22"/>
        </w:rPr>
        <w:t>e, and transmi</w:t>
      </w:r>
      <w:r w:rsidR="00D01288">
        <w:rPr>
          <w:rFonts w:ascii="Arial" w:hAnsi="Arial"/>
          <w:sz w:val="22"/>
        </w:rPr>
        <w:t>t</w:t>
      </w:r>
      <w:r w:rsidR="00D55B66" w:rsidRPr="00577AD2">
        <w:rPr>
          <w:rFonts w:ascii="Arial" w:hAnsi="Arial"/>
          <w:sz w:val="22"/>
        </w:rPr>
        <w:t>t</w:t>
      </w:r>
      <w:r w:rsidR="00D01288">
        <w:rPr>
          <w:rFonts w:ascii="Arial" w:hAnsi="Arial"/>
          <w:sz w:val="22"/>
        </w:rPr>
        <w:t>al of</w:t>
      </w:r>
      <w:r w:rsidR="00D55B66" w:rsidRPr="00577AD2">
        <w:rPr>
          <w:rFonts w:ascii="Arial" w:hAnsi="Arial"/>
          <w:sz w:val="22"/>
        </w:rPr>
        <w:t xml:space="preserve"> health information</w:t>
      </w:r>
      <w:r w:rsidR="005A23CA">
        <w:rPr>
          <w:rFonts w:ascii="Arial" w:hAnsi="Arial"/>
          <w:sz w:val="22"/>
        </w:rPr>
        <w:t xml:space="preserve"> to professional researchers a</w:t>
      </w:r>
      <w:r w:rsidR="005864B0">
        <w:rPr>
          <w:rFonts w:ascii="Arial" w:hAnsi="Arial"/>
          <w:sz w:val="22"/>
        </w:rPr>
        <w:t>t</w:t>
      </w:r>
      <w:r w:rsidR="005A23CA">
        <w:rPr>
          <w:rFonts w:ascii="Arial" w:hAnsi="Arial"/>
          <w:sz w:val="22"/>
        </w:rPr>
        <w:t xml:space="preserve"> regulated institutions</w:t>
      </w:r>
      <w:r w:rsidR="00B842E3" w:rsidRPr="00577AD2">
        <w:rPr>
          <w:rFonts w:ascii="Arial" w:hAnsi="Arial"/>
          <w:sz w:val="22"/>
        </w:rPr>
        <w:t>.</w:t>
      </w:r>
      <w:r>
        <w:rPr>
          <w:rFonts w:ascii="Arial" w:hAnsi="Arial"/>
          <w:sz w:val="22"/>
        </w:rPr>
        <w:t xml:space="preserve"> This research, although </w:t>
      </w:r>
      <w:r w:rsidR="005A23CA">
        <w:rPr>
          <w:rFonts w:ascii="Arial" w:hAnsi="Arial"/>
          <w:sz w:val="22"/>
        </w:rPr>
        <w:t xml:space="preserve">certainly </w:t>
      </w:r>
      <w:r>
        <w:rPr>
          <w:rFonts w:ascii="Arial" w:hAnsi="Arial"/>
          <w:sz w:val="22"/>
        </w:rPr>
        <w:t xml:space="preserve">important, is not the subject of this </w:t>
      </w:r>
      <w:r w:rsidR="005A23CA">
        <w:rPr>
          <w:rFonts w:ascii="Arial" w:hAnsi="Arial"/>
          <w:sz w:val="22"/>
        </w:rPr>
        <w:t xml:space="preserve">grant </w:t>
      </w:r>
      <w:r>
        <w:rPr>
          <w:rFonts w:ascii="Arial" w:hAnsi="Arial"/>
          <w:sz w:val="22"/>
        </w:rPr>
        <w:t>application.</w:t>
      </w:r>
      <w:r w:rsidR="00B842E3" w:rsidRPr="00577AD2">
        <w:rPr>
          <w:rFonts w:ascii="Arial" w:hAnsi="Arial"/>
          <w:sz w:val="22"/>
        </w:rPr>
        <w:t xml:space="preserve"> </w:t>
      </w:r>
    </w:p>
    <w:p w:rsidR="00D01288" w:rsidRDefault="00232A1A" w:rsidP="00423BA8">
      <w:pPr>
        <w:spacing w:after="120" w:line="240" w:lineRule="exact"/>
        <w:jc w:val="both"/>
        <w:rPr>
          <w:rFonts w:ascii="Arial" w:hAnsi="Arial"/>
          <w:sz w:val="22"/>
        </w:rPr>
      </w:pPr>
      <w:r w:rsidRPr="00232A1A">
        <w:rPr>
          <w:rFonts w:ascii="Arial" w:hAnsi="Arial"/>
          <w:sz w:val="22"/>
        </w:rPr>
        <w:t>Instead, we propose to study</w:t>
      </w:r>
      <w:r w:rsidR="00451FD1">
        <w:rPr>
          <w:rFonts w:ascii="Arial" w:hAnsi="Arial"/>
          <w:sz w:val="22"/>
        </w:rPr>
        <w:t xml:space="preserve"> the ELSI issues in</w:t>
      </w:r>
      <w:r w:rsidRPr="00232A1A">
        <w:rPr>
          <w:rFonts w:ascii="Arial" w:hAnsi="Arial"/>
          <w:sz w:val="22"/>
        </w:rPr>
        <w:t xml:space="preserve"> unregulated health research using mobile devices. The lack of legal regulation or self-regulation by app developers and other </w:t>
      </w:r>
      <w:r w:rsidR="00451FD1">
        <w:rPr>
          <w:rFonts w:ascii="Arial" w:hAnsi="Arial"/>
          <w:sz w:val="22"/>
        </w:rPr>
        <w:t>entities</w:t>
      </w:r>
      <w:r w:rsidRPr="00232A1A">
        <w:rPr>
          <w:rFonts w:ascii="Arial" w:hAnsi="Arial"/>
          <w:sz w:val="22"/>
        </w:rPr>
        <w:t xml:space="preserve"> creates a significant risk of harm to research participants and the public in four broad categories: (1) physical harms can result when apps used in research provide erroneous health information that participants rely on to their detriment, such as foregoing essential treatment or taking ineffective or harmful medications and supplements; (2) dignitary and psychological harms could result from inadequate privacy protections that lead to the disclosure or sale of sensitive information, or psychological harm caused by erroneous assessments of health risk; (3) economic harms could result from medical identity theft and other harms caused by inadequate data security; and (4) societal harms could result when improperly performed research leads to flawed scientific conclusions relied on by numerous individuals. Notwithstanding these risks and the tremendous growth of health apps, the ELSI implications have not received much attention from health researchers, mobile device and app developers, scholars, patient advocates, regulators, and policy makers. </w:t>
      </w:r>
    </w:p>
    <w:p w:rsidR="00CE65A9" w:rsidRPr="00577AD2" w:rsidRDefault="00936AAD" w:rsidP="00423BA8">
      <w:pPr>
        <w:spacing w:after="120" w:line="240" w:lineRule="exact"/>
        <w:jc w:val="both"/>
        <w:rPr>
          <w:rFonts w:ascii="Arial" w:hAnsi="Arial"/>
          <w:sz w:val="22"/>
        </w:rPr>
      </w:pPr>
      <w:r>
        <w:rPr>
          <w:rFonts w:ascii="Arial" w:hAnsi="Arial"/>
          <w:sz w:val="22"/>
        </w:rPr>
        <w:t>As shown on the</w:t>
      </w:r>
      <w:r w:rsidR="00D463A3">
        <w:rPr>
          <w:rFonts w:ascii="Arial" w:hAnsi="Arial"/>
          <w:sz w:val="22"/>
        </w:rPr>
        <w:t xml:space="preserve"> right side of Figure 1</w:t>
      </w:r>
      <w:r w:rsidR="00F454B4">
        <w:rPr>
          <w:rFonts w:ascii="Arial" w:hAnsi="Arial"/>
          <w:sz w:val="22"/>
        </w:rPr>
        <w:t>,</w:t>
      </w:r>
      <w:r w:rsidR="00232A1A">
        <w:rPr>
          <w:rFonts w:ascii="Arial" w:hAnsi="Arial"/>
          <w:sz w:val="22"/>
        </w:rPr>
        <w:t xml:space="preserve"> </w:t>
      </w:r>
      <w:r w:rsidR="00D463A3">
        <w:rPr>
          <w:rFonts w:ascii="Arial" w:hAnsi="Arial"/>
          <w:sz w:val="22"/>
        </w:rPr>
        <w:t xml:space="preserve">unregulated research may be divided into (a) research involving data specifically gathered for research, but carried out </w:t>
      </w:r>
      <w:r w:rsidR="006C376C">
        <w:rPr>
          <w:rFonts w:ascii="Arial" w:hAnsi="Arial"/>
          <w:sz w:val="22"/>
        </w:rPr>
        <w:t>by nontraditional researchers (such as independent organizations not subject to the Common Rule, pat</w:t>
      </w:r>
      <w:r w:rsidR="00684D21">
        <w:rPr>
          <w:rFonts w:ascii="Arial" w:hAnsi="Arial"/>
          <w:sz w:val="22"/>
        </w:rPr>
        <w:t>ient groups</w:t>
      </w:r>
      <w:r w:rsidR="006C376C">
        <w:rPr>
          <w:rFonts w:ascii="Arial" w:hAnsi="Arial"/>
          <w:sz w:val="22"/>
        </w:rPr>
        <w:t xml:space="preserve">, and "citizen scientists"); and (b) data collected by health apps for other purposes and converted to a research use. </w:t>
      </w:r>
      <w:r w:rsidR="00232A1A">
        <w:rPr>
          <w:rFonts w:ascii="Arial" w:hAnsi="Arial"/>
          <w:sz w:val="22"/>
        </w:rPr>
        <w:t>W</w:t>
      </w:r>
      <w:r w:rsidR="006C376C">
        <w:rPr>
          <w:rFonts w:ascii="Arial" w:hAnsi="Arial"/>
          <w:sz w:val="22"/>
        </w:rPr>
        <w:t xml:space="preserve">e propose the following interrelated aims: (1) </w:t>
      </w:r>
      <w:r w:rsidR="0005253D">
        <w:rPr>
          <w:rFonts w:ascii="Arial" w:hAnsi="Arial"/>
          <w:sz w:val="22"/>
        </w:rPr>
        <w:t>W</w:t>
      </w:r>
      <w:r w:rsidR="00EA02F6">
        <w:rPr>
          <w:rFonts w:ascii="Arial" w:hAnsi="Arial"/>
          <w:sz w:val="22"/>
        </w:rPr>
        <w:t xml:space="preserve">e will conduct </w:t>
      </w:r>
      <w:r w:rsidR="000774CA" w:rsidRPr="000774CA">
        <w:rPr>
          <w:rFonts w:ascii="Arial" w:hAnsi="Arial"/>
          <w:sz w:val="22"/>
        </w:rPr>
        <w:t>in-depth, qualitative interviews of thought leaders from key stakeholder groups;</w:t>
      </w:r>
      <w:r w:rsidR="006C376C">
        <w:rPr>
          <w:rFonts w:ascii="Arial" w:hAnsi="Arial"/>
          <w:sz w:val="22"/>
        </w:rPr>
        <w:t xml:space="preserve"> (2</w:t>
      </w:r>
      <w:r w:rsidR="004D3F57">
        <w:rPr>
          <w:rFonts w:ascii="Arial" w:hAnsi="Arial"/>
          <w:sz w:val="22"/>
        </w:rPr>
        <w:t xml:space="preserve">) </w:t>
      </w:r>
      <w:r w:rsidR="0005253D">
        <w:rPr>
          <w:rFonts w:ascii="Arial" w:hAnsi="Arial"/>
          <w:sz w:val="22"/>
        </w:rPr>
        <w:t>A</w:t>
      </w:r>
      <w:r w:rsidR="00684D21">
        <w:rPr>
          <w:rFonts w:ascii="Arial" w:hAnsi="Arial"/>
          <w:sz w:val="22"/>
        </w:rPr>
        <w:t xml:space="preserve"> Working Group of 24 experts utilizing results of the thought leader interviews will conduct an </w:t>
      </w:r>
      <w:r w:rsidR="006C376C">
        <w:rPr>
          <w:rFonts w:ascii="Arial" w:hAnsi="Arial"/>
          <w:sz w:val="22"/>
        </w:rPr>
        <w:t xml:space="preserve">in-depth analysis of </w:t>
      </w:r>
      <w:r w:rsidR="004D3F57">
        <w:rPr>
          <w:rFonts w:ascii="Arial" w:hAnsi="Arial"/>
          <w:sz w:val="22"/>
        </w:rPr>
        <w:t>the regulatory framework for research wit</w:t>
      </w:r>
      <w:r w:rsidR="001962C1">
        <w:rPr>
          <w:rFonts w:ascii="Arial" w:hAnsi="Arial"/>
          <w:sz w:val="22"/>
        </w:rPr>
        <w:t>h human subjects</w:t>
      </w:r>
      <w:r w:rsidR="000774CA">
        <w:rPr>
          <w:rFonts w:ascii="Arial" w:hAnsi="Arial"/>
          <w:sz w:val="22"/>
        </w:rPr>
        <w:t xml:space="preserve"> and </w:t>
      </w:r>
      <w:r w:rsidR="00443014" w:rsidRPr="00443014">
        <w:rPr>
          <w:rFonts w:ascii="Arial" w:hAnsi="Arial"/>
          <w:sz w:val="22"/>
        </w:rPr>
        <w:t xml:space="preserve">the underlying </w:t>
      </w:r>
      <w:r w:rsidR="00684D21">
        <w:rPr>
          <w:rFonts w:ascii="Arial" w:hAnsi="Arial"/>
          <w:sz w:val="22"/>
        </w:rPr>
        <w:t xml:space="preserve">ethical </w:t>
      </w:r>
      <w:r w:rsidR="00443014" w:rsidRPr="00443014">
        <w:rPr>
          <w:rFonts w:ascii="Arial" w:hAnsi="Arial"/>
          <w:sz w:val="22"/>
        </w:rPr>
        <w:t>principles embodied in current research regulations that ought to be a part of voluntary guidelines or regulatory standards</w:t>
      </w:r>
      <w:r w:rsidR="006C376C">
        <w:rPr>
          <w:rFonts w:ascii="Arial" w:hAnsi="Arial"/>
          <w:sz w:val="22"/>
        </w:rPr>
        <w:t xml:space="preserve">; and </w:t>
      </w:r>
      <w:r w:rsidR="000774CA">
        <w:rPr>
          <w:rFonts w:ascii="Arial" w:hAnsi="Arial"/>
          <w:sz w:val="22"/>
        </w:rPr>
        <w:t>(</w:t>
      </w:r>
      <w:r w:rsidR="006C376C">
        <w:rPr>
          <w:rFonts w:ascii="Arial" w:hAnsi="Arial"/>
          <w:sz w:val="22"/>
        </w:rPr>
        <w:t>3</w:t>
      </w:r>
      <w:r w:rsidR="00443014">
        <w:rPr>
          <w:rFonts w:ascii="Arial" w:hAnsi="Arial"/>
          <w:sz w:val="22"/>
        </w:rPr>
        <w:t xml:space="preserve">) </w:t>
      </w:r>
      <w:r>
        <w:rPr>
          <w:rFonts w:ascii="Arial" w:hAnsi="Arial"/>
          <w:sz w:val="22"/>
        </w:rPr>
        <w:t>W</w:t>
      </w:r>
      <w:r w:rsidR="00EA02F6">
        <w:rPr>
          <w:rFonts w:ascii="Arial" w:hAnsi="Arial"/>
          <w:sz w:val="22"/>
        </w:rPr>
        <w:t xml:space="preserve">e will </w:t>
      </w:r>
      <w:r w:rsidR="00443014">
        <w:rPr>
          <w:rFonts w:ascii="Arial" w:hAnsi="Arial"/>
          <w:sz w:val="22"/>
        </w:rPr>
        <w:t>disseminat</w:t>
      </w:r>
      <w:r w:rsidR="00EA02F6">
        <w:rPr>
          <w:rFonts w:ascii="Arial" w:hAnsi="Arial"/>
          <w:sz w:val="22"/>
        </w:rPr>
        <w:t>e</w:t>
      </w:r>
      <w:r w:rsidR="00443014">
        <w:rPr>
          <w:rFonts w:ascii="Arial" w:hAnsi="Arial"/>
          <w:sz w:val="22"/>
        </w:rPr>
        <w:t xml:space="preserve"> </w:t>
      </w:r>
      <w:r w:rsidR="006C376C">
        <w:rPr>
          <w:rFonts w:ascii="Arial" w:hAnsi="Arial"/>
          <w:sz w:val="22"/>
        </w:rPr>
        <w:t xml:space="preserve">information and </w:t>
      </w:r>
      <w:r w:rsidR="00443014">
        <w:rPr>
          <w:rFonts w:ascii="Arial" w:hAnsi="Arial"/>
          <w:sz w:val="22"/>
        </w:rPr>
        <w:t xml:space="preserve">recommendations to </w:t>
      </w:r>
      <w:r w:rsidR="006C376C">
        <w:rPr>
          <w:rFonts w:ascii="Arial" w:hAnsi="Arial"/>
          <w:sz w:val="22"/>
        </w:rPr>
        <w:t>app developers, key stakeholder groups,</w:t>
      </w:r>
      <w:r w:rsidR="00443014">
        <w:rPr>
          <w:rFonts w:ascii="Arial" w:hAnsi="Arial"/>
          <w:sz w:val="22"/>
        </w:rPr>
        <w:t xml:space="preserve"> and policy makers.</w:t>
      </w:r>
    </w:p>
    <w:p w:rsidR="00533E61" w:rsidRDefault="00D01288" w:rsidP="004274B9">
      <w:pPr>
        <w:spacing w:before="120" w:after="60" w:line="220" w:lineRule="exact"/>
        <w:rPr>
          <w:rFonts w:ascii="Arial" w:hAnsi="Arial"/>
          <w:b/>
          <w:sz w:val="22"/>
        </w:rPr>
      </w:pPr>
      <w:r>
        <w:rPr>
          <w:rFonts w:ascii="Arial" w:hAnsi="Arial"/>
          <w:b/>
          <w:sz w:val="22"/>
        </w:rPr>
        <w:t>Attributes of u</w:t>
      </w:r>
      <w:r w:rsidR="00533E61" w:rsidRPr="00533E61">
        <w:rPr>
          <w:rFonts w:ascii="Arial" w:hAnsi="Arial"/>
          <w:b/>
          <w:sz w:val="22"/>
        </w:rPr>
        <w:t xml:space="preserve">nregulated </w:t>
      </w:r>
      <w:r w:rsidR="00162262">
        <w:rPr>
          <w:rFonts w:ascii="Arial" w:hAnsi="Arial"/>
          <w:b/>
          <w:sz w:val="22"/>
        </w:rPr>
        <w:t xml:space="preserve">health </w:t>
      </w:r>
      <w:r w:rsidR="00533E61" w:rsidRPr="00533E61">
        <w:rPr>
          <w:rFonts w:ascii="Arial" w:hAnsi="Arial"/>
          <w:b/>
          <w:sz w:val="22"/>
        </w:rPr>
        <w:t>research using mobile devices; preliminary studies.</w:t>
      </w:r>
    </w:p>
    <w:p w:rsidR="004B5912" w:rsidRPr="004B5912" w:rsidRDefault="004B5912" w:rsidP="00423BA8">
      <w:pPr>
        <w:spacing w:after="120" w:line="240" w:lineRule="exact"/>
        <w:jc w:val="both"/>
        <w:rPr>
          <w:rFonts w:ascii="Arial" w:hAnsi="Arial"/>
          <w:sz w:val="22"/>
        </w:rPr>
      </w:pPr>
      <w:r>
        <w:rPr>
          <w:rFonts w:ascii="Arial" w:hAnsi="Arial"/>
          <w:sz w:val="22"/>
        </w:rPr>
        <w:lastRenderedPageBreak/>
        <w:t xml:space="preserve">The </w:t>
      </w:r>
      <w:r w:rsidR="00EA02F6">
        <w:rPr>
          <w:rFonts w:ascii="Arial" w:hAnsi="Arial"/>
          <w:sz w:val="22"/>
        </w:rPr>
        <w:t xml:space="preserve">first </w:t>
      </w:r>
      <w:r>
        <w:rPr>
          <w:rFonts w:ascii="Arial" w:hAnsi="Arial"/>
          <w:sz w:val="22"/>
        </w:rPr>
        <w:t xml:space="preserve">three types of unregulated research discussed below – independent research, patient-enabled research, and citizen science research – often overlap, and it is likely that new forms of research will evolve over time. Although </w:t>
      </w:r>
      <w:r w:rsidR="00D147AC">
        <w:rPr>
          <w:rFonts w:ascii="Arial" w:hAnsi="Arial"/>
          <w:sz w:val="22"/>
        </w:rPr>
        <w:t xml:space="preserve">only </w:t>
      </w:r>
      <w:r>
        <w:rPr>
          <w:rFonts w:ascii="Arial" w:hAnsi="Arial"/>
          <w:sz w:val="22"/>
        </w:rPr>
        <w:t>independent researchers have so far utilized mobile devices to any great extent, it is inevitable that patient-enabled and citizen science research will also make use of this technology.</w:t>
      </w:r>
    </w:p>
    <w:p w:rsidR="00533E61" w:rsidRDefault="00533E61" w:rsidP="00423BA8">
      <w:pPr>
        <w:spacing w:after="120" w:line="240" w:lineRule="exact"/>
        <w:jc w:val="both"/>
        <w:rPr>
          <w:rFonts w:ascii="Arial" w:hAnsi="Arial"/>
          <w:sz w:val="22"/>
        </w:rPr>
      </w:pPr>
      <w:r w:rsidRPr="00533E61">
        <w:rPr>
          <w:rFonts w:ascii="Arial" w:hAnsi="Arial"/>
          <w:sz w:val="22"/>
        </w:rPr>
        <w:t xml:space="preserve">1. </w:t>
      </w:r>
      <w:r w:rsidRPr="00533E61">
        <w:rPr>
          <w:rFonts w:ascii="Arial" w:hAnsi="Arial"/>
          <w:i/>
          <w:sz w:val="22"/>
          <w:u w:val="single"/>
        </w:rPr>
        <w:t>Independent research</w:t>
      </w:r>
      <w:r w:rsidRPr="00533E61">
        <w:rPr>
          <w:rFonts w:ascii="Arial" w:hAnsi="Arial"/>
          <w:sz w:val="22"/>
        </w:rPr>
        <w:t>. To take advantage of new software supporting health resea</w:t>
      </w:r>
      <w:r w:rsidR="00C932D8">
        <w:rPr>
          <w:rFonts w:ascii="Arial" w:hAnsi="Arial"/>
          <w:sz w:val="22"/>
        </w:rPr>
        <w:t xml:space="preserve">rch on mobile devices, in </w:t>
      </w:r>
      <w:r w:rsidRPr="00533E61">
        <w:rPr>
          <w:rFonts w:ascii="Arial" w:hAnsi="Arial"/>
          <w:sz w:val="22"/>
        </w:rPr>
        <w:t xml:space="preserve">2015, the first major smartphone-based health research study was </w:t>
      </w:r>
      <w:r w:rsidR="00D147AC">
        <w:rPr>
          <w:rFonts w:ascii="Arial" w:hAnsi="Arial"/>
          <w:sz w:val="22"/>
        </w:rPr>
        <w:t>conducted</w:t>
      </w:r>
      <w:r w:rsidRPr="00533E61">
        <w:rPr>
          <w:rFonts w:ascii="Arial" w:hAnsi="Arial"/>
          <w:sz w:val="22"/>
        </w:rPr>
        <w:t xml:space="preserve"> by Sage Bionetworks, an independent, nonprofit research organization based in Seattle.  The Parkinson's disease mPower study combined the Apple ResearchKit mobile health application platform with additional software developed by Sage Bionetworks. Participants were recruited online </w:t>
      </w:r>
      <w:r w:rsidR="004B5912">
        <w:rPr>
          <w:rFonts w:ascii="Arial" w:hAnsi="Arial"/>
          <w:sz w:val="22"/>
        </w:rPr>
        <w:t>in partnership with</w:t>
      </w:r>
      <w:r w:rsidRPr="00533E61">
        <w:rPr>
          <w:rFonts w:ascii="Arial" w:hAnsi="Arial"/>
          <w:sz w:val="22"/>
        </w:rPr>
        <w:t xml:space="preserve"> collaborating Parkinson's disease organizations. The study utilized a novel, highly visual, self-guided consent process. Study data were generated by recording the voices of the participants, their posture and stability, their reaction time, and other measures of Parkinson's disease symptoms. Approximately 17,000 participants enrolled in the study over a six-month period. </w:t>
      </w:r>
    </w:p>
    <w:p w:rsidR="00A83BB2" w:rsidRPr="00533E61" w:rsidRDefault="00A83BB2" w:rsidP="00423BA8">
      <w:pPr>
        <w:spacing w:after="120" w:line="240" w:lineRule="exact"/>
        <w:jc w:val="both"/>
        <w:rPr>
          <w:rFonts w:ascii="Arial" w:hAnsi="Arial"/>
          <w:sz w:val="22"/>
        </w:rPr>
      </w:pPr>
      <w:r>
        <w:rPr>
          <w:rFonts w:ascii="Arial" w:hAnsi="Arial"/>
          <w:sz w:val="22"/>
        </w:rPr>
        <w:t xml:space="preserve">The mPower study was notable because it </w:t>
      </w:r>
      <w:r w:rsidRPr="00A83BB2">
        <w:rPr>
          <w:rFonts w:ascii="Arial" w:hAnsi="Arial"/>
          <w:sz w:val="22"/>
        </w:rPr>
        <w:t xml:space="preserve">used online informed consent and external review in accordance with prevailing research ethics to guide participation, data collection, and use. Nevertheless, because the research was neither federally funded nor otherwise subject to federal research regulations, there was no legal mandate </w:t>
      </w:r>
      <w:r>
        <w:rPr>
          <w:rFonts w:ascii="Arial" w:hAnsi="Arial"/>
          <w:sz w:val="22"/>
        </w:rPr>
        <w:t>to do so</w:t>
      </w:r>
      <w:r w:rsidRPr="00A83BB2">
        <w:rPr>
          <w:rFonts w:ascii="Arial" w:hAnsi="Arial"/>
          <w:sz w:val="22"/>
        </w:rPr>
        <w:t xml:space="preserve">. The groundbreaking online consent process and other ethical aspects of the </w:t>
      </w:r>
      <w:r w:rsidR="0007028C">
        <w:rPr>
          <w:rFonts w:ascii="Arial" w:hAnsi="Arial"/>
          <w:sz w:val="22"/>
        </w:rPr>
        <w:t xml:space="preserve">research </w:t>
      </w:r>
      <w:r w:rsidRPr="00A83BB2">
        <w:rPr>
          <w:rFonts w:ascii="Arial" w:hAnsi="Arial"/>
          <w:sz w:val="22"/>
        </w:rPr>
        <w:t xml:space="preserve">were under the direction of John T. Wilbanks of Sage Bionetworks, who is a multiple-PD/PI on this grant application. The external research review was conducted by WIRB-Copernicus Group IRB. David G. Forster, Chief Compliance Officer of WIRB-Copernicus Group, </w:t>
      </w:r>
      <w:r w:rsidR="004B5912">
        <w:rPr>
          <w:rFonts w:ascii="Arial" w:hAnsi="Arial"/>
          <w:sz w:val="22"/>
        </w:rPr>
        <w:t>will be a speaker at Working Group</w:t>
      </w:r>
      <w:r w:rsidR="00D147AC">
        <w:rPr>
          <w:rFonts w:ascii="Arial" w:hAnsi="Arial"/>
          <w:sz w:val="22"/>
        </w:rPr>
        <w:t xml:space="preserve"> Meeting #2</w:t>
      </w:r>
      <w:r w:rsidRPr="00A83BB2">
        <w:rPr>
          <w:rFonts w:ascii="Arial" w:hAnsi="Arial"/>
          <w:sz w:val="22"/>
        </w:rPr>
        <w:t>.</w:t>
      </w:r>
    </w:p>
    <w:p w:rsidR="002E48E5" w:rsidRDefault="00F376AF" w:rsidP="00423BA8">
      <w:pPr>
        <w:spacing w:after="120" w:line="240" w:lineRule="exact"/>
        <w:jc w:val="both"/>
        <w:rPr>
          <w:rFonts w:ascii="Arial" w:hAnsi="Arial"/>
          <w:sz w:val="22"/>
        </w:rPr>
      </w:pPr>
      <w:r w:rsidRPr="00F376AF">
        <w:rPr>
          <w:rFonts w:ascii="Arial" w:hAnsi="Arial"/>
          <w:sz w:val="22"/>
        </w:rPr>
        <w:t xml:space="preserve">In 2016, </w:t>
      </w:r>
      <w:r>
        <w:rPr>
          <w:rFonts w:ascii="Arial" w:hAnsi="Arial"/>
          <w:sz w:val="22"/>
        </w:rPr>
        <w:t>two key personnel on this application</w:t>
      </w:r>
      <w:r w:rsidR="00A83BB2">
        <w:rPr>
          <w:rFonts w:ascii="Arial" w:hAnsi="Arial"/>
          <w:sz w:val="22"/>
        </w:rPr>
        <w:t xml:space="preserve"> from Sage Bionetworks</w:t>
      </w:r>
      <w:r>
        <w:rPr>
          <w:rFonts w:ascii="Arial" w:hAnsi="Arial"/>
          <w:sz w:val="22"/>
        </w:rPr>
        <w:t xml:space="preserve">, </w:t>
      </w:r>
      <w:r w:rsidRPr="00F376AF">
        <w:rPr>
          <w:rFonts w:ascii="Arial" w:hAnsi="Arial"/>
          <w:sz w:val="22"/>
        </w:rPr>
        <w:t xml:space="preserve">John </w:t>
      </w:r>
      <w:r>
        <w:rPr>
          <w:rFonts w:ascii="Arial" w:hAnsi="Arial"/>
          <w:sz w:val="22"/>
        </w:rPr>
        <w:t xml:space="preserve">T. </w:t>
      </w:r>
      <w:r w:rsidRPr="00F376AF">
        <w:rPr>
          <w:rFonts w:ascii="Arial" w:hAnsi="Arial"/>
          <w:sz w:val="22"/>
        </w:rPr>
        <w:t xml:space="preserve">Wilbanks </w:t>
      </w:r>
      <w:r>
        <w:rPr>
          <w:rFonts w:ascii="Arial" w:hAnsi="Arial"/>
          <w:sz w:val="22"/>
        </w:rPr>
        <w:t>(P</w:t>
      </w:r>
      <w:r w:rsidR="00F55B20">
        <w:rPr>
          <w:rFonts w:ascii="Arial" w:hAnsi="Arial"/>
          <w:sz w:val="22"/>
        </w:rPr>
        <w:t>D</w:t>
      </w:r>
      <w:r>
        <w:rPr>
          <w:rFonts w:ascii="Arial" w:hAnsi="Arial"/>
          <w:sz w:val="22"/>
        </w:rPr>
        <w:t>/P</w:t>
      </w:r>
      <w:r w:rsidR="00F55B20">
        <w:rPr>
          <w:rFonts w:ascii="Arial" w:hAnsi="Arial"/>
          <w:sz w:val="22"/>
        </w:rPr>
        <w:t>I</w:t>
      </w:r>
      <w:r>
        <w:rPr>
          <w:rFonts w:ascii="Arial" w:hAnsi="Arial"/>
          <w:sz w:val="22"/>
        </w:rPr>
        <w:t xml:space="preserve">) </w:t>
      </w:r>
      <w:r w:rsidRPr="00F376AF">
        <w:rPr>
          <w:rFonts w:ascii="Arial" w:hAnsi="Arial"/>
          <w:sz w:val="22"/>
        </w:rPr>
        <w:t>and Megan Doerr</w:t>
      </w:r>
      <w:r>
        <w:rPr>
          <w:rFonts w:ascii="Arial" w:hAnsi="Arial"/>
          <w:sz w:val="22"/>
        </w:rPr>
        <w:t xml:space="preserve"> (co-investigator)</w:t>
      </w:r>
      <w:r w:rsidRPr="00F376AF">
        <w:rPr>
          <w:rFonts w:ascii="Arial" w:hAnsi="Arial"/>
          <w:sz w:val="22"/>
        </w:rPr>
        <w:t xml:space="preserve">, undertook a qualitative analysis of </w:t>
      </w:r>
      <w:r w:rsidR="003C0679">
        <w:rPr>
          <w:rFonts w:ascii="Arial" w:hAnsi="Arial"/>
          <w:sz w:val="22"/>
        </w:rPr>
        <w:t>mPower research participant perspectives. The</w:t>
      </w:r>
      <w:r w:rsidRPr="00F376AF">
        <w:rPr>
          <w:rFonts w:ascii="Arial" w:hAnsi="Arial"/>
          <w:sz w:val="22"/>
        </w:rPr>
        <w:t xml:space="preserve"> app </w:t>
      </w:r>
      <w:r w:rsidR="003C0679">
        <w:rPr>
          <w:rFonts w:ascii="Arial" w:hAnsi="Arial"/>
          <w:sz w:val="22"/>
        </w:rPr>
        <w:t xml:space="preserve">for this study </w:t>
      </w:r>
      <w:r w:rsidRPr="00F376AF">
        <w:rPr>
          <w:rFonts w:ascii="Arial" w:hAnsi="Arial"/>
          <w:sz w:val="22"/>
        </w:rPr>
        <w:t>provides users with a text field to collect open-ended comments and feedback. Of 7</w:t>
      </w:r>
      <w:r w:rsidR="00AE49C0">
        <w:rPr>
          <w:rFonts w:ascii="Arial" w:hAnsi="Arial"/>
          <w:sz w:val="22"/>
        </w:rPr>
        <w:t>,</w:t>
      </w:r>
      <w:r w:rsidRPr="00F376AF">
        <w:rPr>
          <w:rFonts w:ascii="Arial" w:hAnsi="Arial"/>
          <w:sz w:val="22"/>
        </w:rPr>
        <w:t>500 comments</w:t>
      </w:r>
      <w:r w:rsidR="0005253D">
        <w:rPr>
          <w:rFonts w:ascii="Arial" w:hAnsi="Arial"/>
          <w:sz w:val="22"/>
        </w:rPr>
        <w:t>,</w:t>
      </w:r>
      <w:r w:rsidRPr="00F376AF">
        <w:rPr>
          <w:rFonts w:ascii="Arial" w:hAnsi="Arial"/>
          <w:sz w:val="22"/>
        </w:rPr>
        <w:t xml:space="preserve"> 3</w:t>
      </w:r>
      <w:r w:rsidR="00AE49C0">
        <w:rPr>
          <w:rFonts w:ascii="Arial" w:hAnsi="Arial"/>
          <w:sz w:val="22"/>
        </w:rPr>
        <w:t>,</w:t>
      </w:r>
      <w:r w:rsidRPr="00F376AF">
        <w:rPr>
          <w:rFonts w:ascii="Arial" w:hAnsi="Arial"/>
          <w:sz w:val="22"/>
        </w:rPr>
        <w:t xml:space="preserve">888 </w:t>
      </w:r>
      <w:r w:rsidR="003C0679">
        <w:rPr>
          <w:rFonts w:ascii="Arial" w:hAnsi="Arial"/>
          <w:sz w:val="22"/>
        </w:rPr>
        <w:t>involved</w:t>
      </w:r>
      <w:r w:rsidRPr="00F376AF">
        <w:rPr>
          <w:rFonts w:ascii="Arial" w:hAnsi="Arial"/>
          <w:sz w:val="22"/>
        </w:rPr>
        <w:t xml:space="preserve"> user perspectives on ELSI issues</w:t>
      </w:r>
      <w:r>
        <w:rPr>
          <w:rFonts w:ascii="Arial" w:hAnsi="Arial"/>
          <w:sz w:val="22"/>
        </w:rPr>
        <w:t>,</w:t>
      </w:r>
      <w:r w:rsidRPr="00F376AF">
        <w:rPr>
          <w:rFonts w:ascii="Arial" w:hAnsi="Arial"/>
          <w:sz w:val="22"/>
        </w:rPr>
        <w:t xml:space="preserve"> such as consent, data sharing, and governance. Analysis of these comments provides a number of insig</w:t>
      </w:r>
      <w:r>
        <w:rPr>
          <w:rFonts w:ascii="Arial" w:hAnsi="Arial"/>
          <w:sz w:val="22"/>
        </w:rPr>
        <w:t>hts relevant to th</w:t>
      </w:r>
      <w:r w:rsidR="00F55B20">
        <w:rPr>
          <w:rFonts w:ascii="Arial" w:hAnsi="Arial"/>
          <w:sz w:val="22"/>
        </w:rPr>
        <w:t>is grant application</w:t>
      </w:r>
      <w:r w:rsidRPr="00F376AF">
        <w:rPr>
          <w:rFonts w:ascii="Arial" w:hAnsi="Arial"/>
          <w:sz w:val="22"/>
        </w:rPr>
        <w:t xml:space="preserve">. For example, many participant comments </w:t>
      </w:r>
      <w:r w:rsidR="003C0679">
        <w:rPr>
          <w:rFonts w:ascii="Arial" w:hAnsi="Arial"/>
          <w:sz w:val="22"/>
        </w:rPr>
        <w:t>indicated</w:t>
      </w:r>
      <w:r w:rsidRPr="00F376AF">
        <w:rPr>
          <w:rFonts w:ascii="Arial" w:hAnsi="Arial"/>
          <w:sz w:val="22"/>
        </w:rPr>
        <w:t xml:space="preserve"> an interest in research participation as citize</w:t>
      </w:r>
      <w:r w:rsidR="003C0679">
        <w:rPr>
          <w:rFonts w:ascii="Arial" w:hAnsi="Arial"/>
          <w:sz w:val="22"/>
        </w:rPr>
        <w:t>n scientists, offered</w:t>
      </w:r>
      <w:r w:rsidRPr="00F376AF">
        <w:rPr>
          <w:rFonts w:ascii="Arial" w:hAnsi="Arial"/>
          <w:sz w:val="22"/>
        </w:rPr>
        <w:t xml:space="preserve"> opinions on promising research uses of the data </w:t>
      </w:r>
      <w:r>
        <w:rPr>
          <w:rFonts w:ascii="Arial" w:hAnsi="Arial"/>
          <w:sz w:val="22"/>
        </w:rPr>
        <w:t xml:space="preserve">already </w:t>
      </w:r>
      <w:r w:rsidRPr="00F376AF">
        <w:rPr>
          <w:rFonts w:ascii="Arial" w:hAnsi="Arial"/>
          <w:sz w:val="22"/>
        </w:rPr>
        <w:t xml:space="preserve">collected, </w:t>
      </w:r>
      <w:r>
        <w:rPr>
          <w:rFonts w:ascii="Arial" w:hAnsi="Arial"/>
          <w:sz w:val="22"/>
        </w:rPr>
        <w:t>suggest</w:t>
      </w:r>
      <w:r w:rsidR="003C0679">
        <w:rPr>
          <w:rFonts w:ascii="Arial" w:hAnsi="Arial"/>
          <w:sz w:val="22"/>
        </w:rPr>
        <w:t>ed</w:t>
      </w:r>
      <w:r>
        <w:rPr>
          <w:rFonts w:ascii="Arial" w:hAnsi="Arial"/>
          <w:sz w:val="22"/>
        </w:rPr>
        <w:t xml:space="preserve"> </w:t>
      </w:r>
      <w:r w:rsidRPr="00F376AF">
        <w:rPr>
          <w:rFonts w:ascii="Arial" w:hAnsi="Arial"/>
          <w:sz w:val="22"/>
        </w:rPr>
        <w:t xml:space="preserve">how to analyze data, and </w:t>
      </w:r>
      <w:r>
        <w:rPr>
          <w:rFonts w:ascii="Arial" w:hAnsi="Arial"/>
          <w:sz w:val="22"/>
        </w:rPr>
        <w:t>recommend</w:t>
      </w:r>
      <w:r w:rsidR="003C0679">
        <w:rPr>
          <w:rFonts w:ascii="Arial" w:hAnsi="Arial"/>
          <w:sz w:val="22"/>
        </w:rPr>
        <w:t>ed</w:t>
      </w:r>
      <w:r>
        <w:rPr>
          <w:rFonts w:ascii="Arial" w:hAnsi="Arial"/>
          <w:sz w:val="22"/>
        </w:rPr>
        <w:t xml:space="preserve"> </w:t>
      </w:r>
      <w:r w:rsidRPr="00F376AF">
        <w:rPr>
          <w:rFonts w:ascii="Arial" w:hAnsi="Arial"/>
          <w:sz w:val="22"/>
        </w:rPr>
        <w:t>other Parkinson’s symptoms t</w:t>
      </w:r>
      <w:r w:rsidR="003C0679">
        <w:rPr>
          <w:rFonts w:ascii="Arial" w:hAnsi="Arial"/>
          <w:sz w:val="22"/>
        </w:rPr>
        <w:t>o</w:t>
      </w:r>
      <w:r w:rsidRPr="00F376AF">
        <w:rPr>
          <w:rFonts w:ascii="Arial" w:hAnsi="Arial"/>
          <w:sz w:val="22"/>
        </w:rPr>
        <w:t xml:space="preserve"> stud</w:t>
      </w:r>
      <w:r w:rsidR="003C0679">
        <w:rPr>
          <w:rFonts w:ascii="Arial" w:hAnsi="Arial"/>
          <w:sz w:val="22"/>
        </w:rPr>
        <w:t>y</w:t>
      </w:r>
      <w:r w:rsidRPr="00F376AF">
        <w:rPr>
          <w:rFonts w:ascii="Arial" w:hAnsi="Arial"/>
          <w:sz w:val="22"/>
        </w:rPr>
        <w:t xml:space="preserve">. </w:t>
      </w:r>
    </w:p>
    <w:p w:rsidR="00C348F4" w:rsidRPr="00533E61" w:rsidRDefault="00C348F4" w:rsidP="00423BA8">
      <w:pPr>
        <w:spacing w:after="120" w:line="240" w:lineRule="exact"/>
        <w:jc w:val="both"/>
        <w:rPr>
          <w:rFonts w:ascii="Arial" w:hAnsi="Arial"/>
          <w:sz w:val="22"/>
        </w:rPr>
      </w:pPr>
      <w:r>
        <w:rPr>
          <w:rFonts w:ascii="Arial" w:hAnsi="Arial"/>
          <w:sz w:val="22"/>
        </w:rPr>
        <w:t xml:space="preserve">Although Sage Bionetworks was the first research entity to enter this space, new research apps are being introduced for both ResearchKit (Apple) and ResearchStack (Android). Other </w:t>
      </w:r>
      <w:r w:rsidR="003C0679">
        <w:rPr>
          <w:rFonts w:ascii="Arial" w:hAnsi="Arial"/>
          <w:sz w:val="22"/>
        </w:rPr>
        <w:t xml:space="preserve">mobile device-based, </w:t>
      </w:r>
      <w:r>
        <w:rPr>
          <w:rFonts w:ascii="Arial" w:hAnsi="Arial"/>
          <w:sz w:val="22"/>
        </w:rPr>
        <w:t xml:space="preserve">independent research includes the </w:t>
      </w:r>
      <w:r w:rsidR="0007028C">
        <w:rPr>
          <w:rFonts w:ascii="Arial" w:hAnsi="Arial"/>
          <w:sz w:val="22"/>
        </w:rPr>
        <w:t>Microbiome Study (U Biome);</w:t>
      </w:r>
      <w:r>
        <w:rPr>
          <w:rFonts w:ascii="Arial" w:hAnsi="Arial"/>
          <w:sz w:val="22"/>
        </w:rPr>
        <w:t xml:space="preserve"> Biogram 2 -- Bio</w:t>
      </w:r>
      <w:r w:rsidR="0007028C">
        <w:rPr>
          <w:rFonts w:ascii="Arial" w:hAnsi="Arial"/>
          <w:sz w:val="22"/>
        </w:rPr>
        <w:t>metric Measures (Medable, Inc.);</w:t>
      </w:r>
      <w:r>
        <w:rPr>
          <w:rFonts w:ascii="Arial" w:hAnsi="Arial"/>
          <w:sz w:val="22"/>
        </w:rPr>
        <w:t xml:space="preserve"> and COPD Navigator (LifeMap Solutions).</w:t>
      </w:r>
      <w:r w:rsidR="004B5912">
        <w:rPr>
          <w:rStyle w:val="EndnoteReference"/>
          <w:rFonts w:ascii="Arial" w:hAnsi="Arial"/>
          <w:sz w:val="22"/>
        </w:rPr>
        <w:endnoteReference w:id="5"/>
      </w:r>
    </w:p>
    <w:p w:rsidR="00547A9D" w:rsidRDefault="00533E61" w:rsidP="00423BA8">
      <w:pPr>
        <w:spacing w:after="120" w:line="240" w:lineRule="exact"/>
        <w:jc w:val="both"/>
        <w:rPr>
          <w:rFonts w:ascii="Arial" w:hAnsi="Arial"/>
          <w:sz w:val="22"/>
        </w:rPr>
      </w:pPr>
      <w:r w:rsidRPr="00533E61">
        <w:rPr>
          <w:rFonts w:ascii="Arial" w:hAnsi="Arial"/>
          <w:sz w:val="22"/>
        </w:rPr>
        <w:t xml:space="preserve">2. </w:t>
      </w:r>
      <w:r w:rsidRPr="00533E61">
        <w:rPr>
          <w:rFonts w:ascii="Arial" w:hAnsi="Arial"/>
          <w:i/>
          <w:sz w:val="22"/>
          <w:u w:val="single"/>
        </w:rPr>
        <w:t>Patient-</w:t>
      </w:r>
      <w:r w:rsidR="00547A9D">
        <w:rPr>
          <w:rFonts w:ascii="Arial" w:hAnsi="Arial"/>
          <w:i/>
          <w:sz w:val="22"/>
          <w:u w:val="single"/>
        </w:rPr>
        <w:t>enabl</w:t>
      </w:r>
      <w:r w:rsidRPr="00533E61">
        <w:rPr>
          <w:rFonts w:ascii="Arial" w:hAnsi="Arial"/>
          <w:i/>
          <w:sz w:val="22"/>
          <w:u w:val="single"/>
        </w:rPr>
        <w:t>ed research</w:t>
      </w:r>
      <w:r w:rsidRPr="00533E61">
        <w:rPr>
          <w:rFonts w:ascii="Arial" w:hAnsi="Arial"/>
          <w:sz w:val="22"/>
        </w:rPr>
        <w:t xml:space="preserve">. </w:t>
      </w:r>
      <w:r w:rsidR="00547A9D">
        <w:rPr>
          <w:rFonts w:ascii="Arial" w:hAnsi="Arial"/>
          <w:sz w:val="22"/>
        </w:rPr>
        <w:t xml:space="preserve">Patients and their family members </w:t>
      </w:r>
      <w:r w:rsidR="00EB2767">
        <w:rPr>
          <w:rFonts w:ascii="Arial" w:hAnsi="Arial"/>
          <w:sz w:val="22"/>
        </w:rPr>
        <w:t xml:space="preserve">long </w:t>
      </w:r>
      <w:r w:rsidR="00547A9D">
        <w:rPr>
          <w:rFonts w:ascii="Arial" w:hAnsi="Arial"/>
          <w:sz w:val="22"/>
        </w:rPr>
        <w:t xml:space="preserve">have been involved in financing and lobbying for increased </w:t>
      </w:r>
      <w:r w:rsidR="00216948">
        <w:rPr>
          <w:rFonts w:ascii="Arial" w:hAnsi="Arial"/>
          <w:sz w:val="22"/>
        </w:rPr>
        <w:t xml:space="preserve">health </w:t>
      </w:r>
      <w:r w:rsidR="00547A9D">
        <w:rPr>
          <w:rFonts w:ascii="Arial" w:hAnsi="Arial"/>
          <w:sz w:val="22"/>
        </w:rPr>
        <w:t xml:space="preserve">research. In recent years, the growth of information technology has facilitated </w:t>
      </w:r>
      <w:r w:rsidR="00EB2767">
        <w:rPr>
          <w:rFonts w:ascii="Arial" w:hAnsi="Arial"/>
          <w:sz w:val="22"/>
        </w:rPr>
        <w:t xml:space="preserve">a variety of ways </w:t>
      </w:r>
      <w:r w:rsidR="00216948">
        <w:rPr>
          <w:rFonts w:ascii="Arial" w:hAnsi="Arial"/>
          <w:sz w:val="22"/>
        </w:rPr>
        <w:t xml:space="preserve">for patients </w:t>
      </w:r>
      <w:r w:rsidR="00547A9D">
        <w:rPr>
          <w:rFonts w:ascii="Arial" w:hAnsi="Arial"/>
          <w:sz w:val="22"/>
        </w:rPr>
        <w:t>to participate more closely</w:t>
      </w:r>
      <w:r w:rsidR="00216948">
        <w:rPr>
          <w:rFonts w:ascii="Arial" w:hAnsi="Arial"/>
          <w:sz w:val="22"/>
        </w:rPr>
        <w:t xml:space="preserve"> in </w:t>
      </w:r>
      <w:r w:rsidR="00547A9D">
        <w:rPr>
          <w:rFonts w:ascii="Arial" w:hAnsi="Arial"/>
          <w:sz w:val="22"/>
        </w:rPr>
        <w:t xml:space="preserve">research. One way is through the sharing of health records, biospecimens, and patient registries that support research and </w:t>
      </w:r>
      <w:r w:rsidR="00216948">
        <w:rPr>
          <w:rFonts w:ascii="Arial" w:hAnsi="Arial"/>
          <w:sz w:val="22"/>
        </w:rPr>
        <w:t xml:space="preserve">enable </w:t>
      </w:r>
      <w:r w:rsidR="00547A9D">
        <w:rPr>
          <w:rFonts w:ascii="Arial" w:hAnsi="Arial"/>
          <w:sz w:val="22"/>
        </w:rPr>
        <w:t xml:space="preserve">participation in research. </w:t>
      </w:r>
      <w:r w:rsidR="00EB2767">
        <w:rPr>
          <w:rFonts w:ascii="Arial" w:hAnsi="Arial"/>
          <w:sz w:val="22"/>
        </w:rPr>
        <w:t>An</w:t>
      </w:r>
      <w:r w:rsidR="00547A9D">
        <w:rPr>
          <w:rFonts w:ascii="Arial" w:hAnsi="Arial"/>
          <w:sz w:val="22"/>
        </w:rPr>
        <w:t xml:space="preserve"> example of such a program is the Bio Trust </w:t>
      </w:r>
      <w:r w:rsidR="00216948">
        <w:rPr>
          <w:rFonts w:ascii="Arial" w:hAnsi="Arial"/>
          <w:sz w:val="22"/>
        </w:rPr>
        <w:t xml:space="preserve">program </w:t>
      </w:r>
      <w:r w:rsidR="00547A9D">
        <w:rPr>
          <w:rFonts w:ascii="Arial" w:hAnsi="Arial"/>
          <w:sz w:val="22"/>
        </w:rPr>
        <w:t xml:space="preserve">of the Genetic Alliance, a large organization that serves as a clearinghouse of information and </w:t>
      </w:r>
      <w:r w:rsidR="0005253D">
        <w:rPr>
          <w:rFonts w:ascii="Arial" w:hAnsi="Arial"/>
          <w:sz w:val="22"/>
        </w:rPr>
        <w:t xml:space="preserve">source of </w:t>
      </w:r>
      <w:r w:rsidR="00547A9D">
        <w:rPr>
          <w:rFonts w:ascii="Arial" w:hAnsi="Arial"/>
          <w:sz w:val="22"/>
        </w:rPr>
        <w:t xml:space="preserve">activism for numerous genetic diseases. The motto of this </w:t>
      </w:r>
      <w:r w:rsidR="00EB2767">
        <w:rPr>
          <w:rFonts w:ascii="Arial" w:hAnsi="Arial"/>
          <w:sz w:val="22"/>
        </w:rPr>
        <w:t xml:space="preserve">research </w:t>
      </w:r>
      <w:r w:rsidR="00547A9D">
        <w:rPr>
          <w:rFonts w:ascii="Arial" w:hAnsi="Arial"/>
          <w:sz w:val="22"/>
        </w:rPr>
        <w:t>effort</w:t>
      </w:r>
      <w:r w:rsidR="00936AAD">
        <w:rPr>
          <w:rFonts w:ascii="Arial" w:hAnsi="Arial"/>
          <w:sz w:val="22"/>
        </w:rPr>
        <w:t xml:space="preserve"> is</w:t>
      </w:r>
      <w:r w:rsidR="00547A9D">
        <w:rPr>
          <w:rFonts w:ascii="Arial" w:hAnsi="Arial"/>
          <w:sz w:val="22"/>
        </w:rPr>
        <w:t>: "We will beat a path to participation in biomedical research, and we will accelerate solutions." Sharon F. Terry, President and CEO of the Genetic Alliance</w:t>
      </w:r>
      <w:r w:rsidR="00EB2767">
        <w:rPr>
          <w:rFonts w:ascii="Arial" w:hAnsi="Arial"/>
          <w:sz w:val="22"/>
        </w:rPr>
        <w:t>,</w:t>
      </w:r>
      <w:r w:rsidR="00547A9D">
        <w:rPr>
          <w:rFonts w:ascii="Arial" w:hAnsi="Arial"/>
          <w:sz w:val="22"/>
        </w:rPr>
        <w:t xml:space="preserve"> is a </w:t>
      </w:r>
      <w:r w:rsidR="004B5912">
        <w:rPr>
          <w:rFonts w:ascii="Arial" w:hAnsi="Arial"/>
          <w:sz w:val="22"/>
        </w:rPr>
        <w:t>member of the Working Group</w:t>
      </w:r>
      <w:r w:rsidR="00547A9D">
        <w:rPr>
          <w:rFonts w:ascii="Arial" w:hAnsi="Arial"/>
          <w:sz w:val="22"/>
        </w:rPr>
        <w:t>.</w:t>
      </w:r>
    </w:p>
    <w:p w:rsidR="00EB2767" w:rsidRDefault="00EB2767" w:rsidP="00423BA8">
      <w:pPr>
        <w:spacing w:after="120" w:line="240" w:lineRule="exact"/>
        <w:jc w:val="both"/>
        <w:rPr>
          <w:rFonts w:ascii="Arial" w:hAnsi="Arial"/>
          <w:sz w:val="22"/>
        </w:rPr>
      </w:pPr>
      <w:r>
        <w:rPr>
          <w:rFonts w:ascii="Arial" w:hAnsi="Arial"/>
          <w:sz w:val="22"/>
        </w:rPr>
        <w:t>Another example o</w:t>
      </w:r>
      <w:r w:rsidR="0042352D">
        <w:rPr>
          <w:rFonts w:ascii="Arial" w:hAnsi="Arial"/>
          <w:sz w:val="22"/>
        </w:rPr>
        <w:t>f patient-enabled research is C</w:t>
      </w:r>
      <w:r>
        <w:rPr>
          <w:rFonts w:ascii="Arial" w:hAnsi="Arial"/>
          <w:sz w:val="22"/>
        </w:rPr>
        <w:t>ro</w:t>
      </w:r>
      <w:r w:rsidR="0042352D">
        <w:rPr>
          <w:rFonts w:ascii="Arial" w:hAnsi="Arial"/>
          <w:sz w:val="22"/>
        </w:rPr>
        <w:t xml:space="preserve">hnology. Focusing on Crohn's disease, </w:t>
      </w:r>
      <w:r w:rsidR="00C628EB">
        <w:rPr>
          <w:rFonts w:ascii="Arial" w:hAnsi="Arial"/>
          <w:sz w:val="22"/>
        </w:rPr>
        <w:t>it</w:t>
      </w:r>
      <w:r w:rsidR="0042352D">
        <w:rPr>
          <w:rFonts w:ascii="Arial" w:hAnsi="Arial"/>
          <w:sz w:val="22"/>
        </w:rPr>
        <w:t xml:space="preserve"> is </w:t>
      </w:r>
      <w:r>
        <w:rPr>
          <w:rFonts w:ascii="Arial" w:hAnsi="Arial"/>
          <w:sz w:val="22"/>
        </w:rPr>
        <w:t>a self-described "patient-powered research network," which serves as a common resource allowing patients to contribute their treatment outcomes to support aggregate compilations for rese</w:t>
      </w:r>
      <w:r w:rsidR="00C932D8">
        <w:rPr>
          <w:rFonts w:ascii="Arial" w:hAnsi="Arial"/>
          <w:sz w:val="22"/>
        </w:rPr>
        <w:t>arch. Sean Ahrens, Founder of C</w:t>
      </w:r>
      <w:r>
        <w:rPr>
          <w:rFonts w:ascii="Arial" w:hAnsi="Arial"/>
          <w:sz w:val="22"/>
        </w:rPr>
        <w:t>ro</w:t>
      </w:r>
      <w:r w:rsidR="00C932D8">
        <w:rPr>
          <w:rFonts w:ascii="Arial" w:hAnsi="Arial"/>
          <w:sz w:val="22"/>
        </w:rPr>
        <w:t>h</w:t>
      </w:r>
      <w:r>
        <w:rPr>
          <w:rFonts w:ascii="Arial" w:hAnsi="Arial"/>
          <w:sz w:val="22"/>
        </w:rPr>
        <w:t xml:space="preserve">nology, is a </w:t>
      </w:r>
      <w:r w:rsidR="004B5912">
        <w:rPr>
          <w:rFonts w:ascii="Arial" w:hAnsi="Arial"/>
          <w:sz w:val="22"/>
        </w:rPr>
        <w:t>member of the Working Group</w:t>
      </w:r>
      <w:r>
        <w:rPr>
          <w:rFonts w:ascii="Arial" w:hAnsi="Arial"/>
          <w:sz w:val="22"/>
        </w:rPr>
        <w:t>.</w:t>
      </w:r>
    </w:p>
    <w:p w:rsidR="00533E61" w:rsidRPr="00533E61" w:rsidRDefault="00EB2767" w:rsidP="00423BA8">
      <w:pPr>
        <w:spacing w:after="120" w:line="240" w:lineRule="exact"/>
        <w:jc w:val="both"/>
        <w:rPr>
          <w:rFonts w:ascii="Arial" w:hAnsi="Arial"/>
          <w:sz w:val="22"/>
        </w:rPr>
      </w:pPr>
      <w:r>
        <w:rPr>
          <w:rFonts w:ascii="Arial" w:hAnsi="Arial"/>
          <w:sz w:val="22"/>
        </w:rPr>
        <w:t>In some cases, patients actually initiate and direct the research. For example, after the publication of a small Italian pilot study of patients with amyotrophic lateral sclerosis (ALS),</w:t>
      </w:r>
      <w:r>
        <w:rPr>
          <w:rStyle w:val="EndnoteReference"/>
          <w:rFonts w:ascii="Arial" w:hAnsi="Arial"/>
          <w:sz w:val="22"/>
        </w:rPr>
        <w:endnoteReference w:id="6"/>
      </w:r>
      <w:r w:rsidR="00547A9D">
        <w:rPr>
          <w:rFonts w:ascii="Arial" w:hAnsi="Arial"/>
          <w:sz w:val="22"/>
        </w:rPr>
        <w:t xml:space="preserve"> </w:t>
      </w:r>
      <w:r>
        <w:rPr>
          <w:rFonts w:ascii="Arial" w:hAnsi="Arial"/>
          <w:sz w:val="22"/>
        </w:rPr>
        <w:t xml:space="preserve">patients on the forum of PatientsLikeMe decided to test the theory for themselves. Over the course of </w:t>
      </w:r>
      <w:r w:rsidR="002B4166">
        <w:rPr>
          <w:rFonts w:ascii="Arial" w:hAnsi="Arial"/>
          <w:sz w:val="22"/>
        </w:rPr>
        <w:t>2</w:t>
      </w:r>
      <w:r>
        <w:rPr>
          <w:rFonts w:ascii="Arial" w:hAnsi="Arial"/>
          <w:sz w:val="22"/>
        </w:rPr>
        <w:t xml:space="preserve"> years, 1</w:t>
      </w:r>
      <w:r w:rsidR="002B4166">
        <w:rPr>
          <w:rFonts w:ascii="Arial" w:hAnsi="Arial"/>
          <w:sz w:val="22"/>
        </w:rPr>
        <w:t>49</w:t>
      </w:r>
      <w:r>
        <w:rPr>
          <w:rFonts w:ascii="Arial" w:hAnsi="Arial"/>
          <w:sz w:val="22"/>
        </w:rPr>
        <w:t xml:space="preserve"> patients obtained lithium </w:t>
      </w:r>
      <w:r w:rsidR="0042352D">
        <w:rPr>
          <w:rFonts w:ascii="Arial" w:hAnsi="Arial"/>
          <w:sz w:val="22"/>
        </w:rPr>
        <w:t>off-label and, using the ALS functional rating scale, tracked their progress. A published study, conducted internally at PatientsLikeMe</w:t>
      </w:r>
      <w:r w:rsidR="00C628EB">
        <w:rPr>
          <w:rFonts w:ascii="Arial" w:hAnsi="Arial"/>
          <w:sz w:val="22"/>
        </w:rPr>
        <w:t>,</w:t>
      </w:r>
      <w:r w:rsidR="0042352D">
        <w:rPr>
          <w:rFonts w:ascii="Arial" w:hAnsi="Arial"/>
          <w:sz w:val="22"/>
        </w:rPr>
        <w:t xml:space="preserve"> conclud</w:t>
      </w:r>
      <w:r w:rsidR="00C628EB">
        <w:rPr>
          <w:rFonts w:ascii="Arial" w:hAnsi="Arial"/>
          <w:sz w:val="22"/>
        </w:rPr>
        <w:t>ed that lithium had no effect on</w:t>
      </w:r>
      <w:r w:rsidR="0042352D">
        <w:rPr>
          <w:rFonts w:ascii="Arial" w:hAnsi="Arial"/>
          <w:sz w:val="22"/>
        </w:rPr>
        <w:t xml:space="preserve"> disease progression."</w:t>
      </w:r>
      <w:r w:rsidR="0042352D">
        <w:rPr>
          <w:rStyle w:val="EndnoteReference"/>
          <w:rFonts w:ascii="Arial" w:hAnsi="Arial"/>
          <w:sz w:val="22"/>
        </w:rPr>
        <w:endnoteReference w:id="7"/>
      </w:r>
      <w:r w:rsidR="00547A9D">
        <w:rPr>
          <w:rFonts w:ascii="Arial" w:hAnsi="Arial"/>
          <w:sz w:val="22"/>
        </w:rPr>
        <w:t xml:space="preserve"> </w:t>
      </w:r>
      <w:r w:rsidR="0042352D">
        <w:rPr>
          <w:rFonts w:ascii="Arial" w:hAnsi="Arial"/>
          <w:sz w:val="22"/>
        </w:rPr>
        <w:t xml:space="preserve">The patient-initiated null finding undoubtedly prevented many patients from undertaking this </w:t>
      </w:r>
      <w:r w:rsidR="0042352D">
        <w:rPr>
          <w:rFonts w:ascii="Arial" w:hAnsi="Arial"/>
          <w:sz w:val="22"/>
        </w:rPr>
        <w:lastRenderedPageBreak/>
        <w:t xml:space="preserve">ineffective and potentially risky therapy. Sally Okun, Vice President for Advocacy, Policy, and Patient Safety of PatientsLikeMe, </w:t>
      </w:r>
      <w:r w:rsidR="00CE7F34">
        <w:rPr>
          <w:rFonts w:ascii="Arial" w:hAnsi="Arial"/>
          <w:sz w:val="22"/>
        </w:rPr>
        <w:t>will be a speaker at Working Group</w:t>
      </w:r>
      <w:r w:rsidR="00D147AC">
        <w:rPr>
          <w:rFonts w:ascii="Arial" w:hAnsi="Arial"/>
          <w:sz w:val="22"/>
        </w:rPr>
        <w:t xml:space="preserve"> Meeting #1</w:t>
      </w:r>
      <w:r w:rsidR="0042352D">
        <w:rPr>
          <w:rFonts w:ascii="Arial" w:hAnsi="Arial"/>
          <w:sz w:val="22"/>
        </w:rPr>
        <w:t>.</w:t>
      </w:r>
    </w:p>
    <w:p w:rsidR="00CC07E5" w:rsidRDefault="00533E61" w:rsidP="00423BA8">
      <w:pPr>
        <w:spacing w:after="120" w:line="240" w:lineRule="exact"/>
        <w:jc w:val="both"/>
        <w:rPr>
          <w:rFonts w:ascii="Arial" w:hAnsi="Arial"/>
          <w:sz w:val="22"/>
        </w:rPr>
      </w:pPr>
      <w:r w:rsidRPr="00533E61">
        <w:rPr>
          <w:rFonts w:ascii="Arial" w:hAnsi="Arial"/>
          <w:sz w:val="22"/>
        </w:rPr>
        <w:t xml:space="preserve">3. </w:t>
      </w:r>
      <w:r w:rsidRPr="00533E61">
        <w:rPr>
          <w:rFonts w:ascii="Arial" w:hAnsi="Arial"/>
          <w:i/>
          <w:sz w:val="22"/>
          <w:u w:val="single"/>
        </w:rPr>
        <w:t>Citizen science</w:t>
      </w:r>
      <w:r w:rsidR="00547A9D">
        <w:rPr>
          <w:rFonts w:ascii="Arial" w:hAnsi="Arial"/>
          <w:sz w:val="22"/>
        </w:rPr>
        <w:t>.</w:t>
      </w:r>
      <w:r w:rsidR="004A5BBA">
        <w:rPr>
          <w:rFonts w:ascii="Arial" w:hAnsi="Arial"/>
          <w:sz w:val="22"/>
        </w:rPr>
        <w:t xml:space="preserve"> The term citizen science can include a variety of arrangements </w:t>
      </w:r>
      <w:r w:rsidR="00CC07E5">
        <w:rPr>
          <w:rFonts w:ascii="Arial" w:hAnsi="Arial"/>
          <w:sz w:val="22"/>
        </w:rPr>
        <w:t>where</w:t>
      </w:r>
      <w:r w:rsidR="004A5BBA">
        <w:rPr>
          <w:rFonts w:ascii="Arial" w:hAnsi="Arial"/>
          <w:sz w:val="22"/>
        </w:rPr>
        <w:t xml:space="preserve"> nonscientists assist in or contribute to research, including data capture and crowdsourcing.</w:t>
      </w:r>
      <w:r w:rsidR="00837C66">
        <w:rPr>
          <w:rStyle w:val="EndnoteReference"/>
          <w:rFonts w:ascii="Arial" w:hAnsi="Arial"/>
          <w:sz w:val="22"/>
        </w:rPr>
        <w:endnoteReference w:id="8"/>
      </w:r>
      <w:r w:rsidR="004A5BBA">
        <w:rPr>
          <w:rFonts w:ascii="Arial" w:hAnsi="Arial"/>
          <w:sz w:val="22"/>
        </w:rPr>
        <w:t xml:space="preserve"> The most extreme form of citizen science, and the one that raises the most ethical issues, </w:t>
      </w:r>
      <w:r w:rsidR="00CC07E5">
        <w:rPr>
          <w:rFonts w:ascii="Arial" w:hAnsi="Arial"/>
          <w:sz w:val="22"/>
        </w:rPr>
        <w:t xml:space="preserve">involves amateur scientists independently </w:t>
      </w:r>
      <w:r w:rsidR="00314151">
        <w:rPr>
          <w:rFonts w:ascii="Arial" w:hAnsi="Arial"/>
          <w:sz w:val="22"/>
        </w:rPr>
        <w:t>undertaking</w:t>
      </w:r>
      <w:r w:rsidR="00CC07E5">
        <w:rPr>
          <w:rFonts w:ascii="Arial" w:hAnsi="Arial"/>
          <w:sz w:val="22"/>
        </w:rPr>
        <w:t xml:space="preserve"> scientific </w:t>
      </w:r>
      <w:r w:rsidR="00314151">
        <w:rPr>
          <w:rFonts w:ascii="Arial" w:hAnsi="Arial"/>
          <w:sz w:val="22"/>
        </w:rPr>
        <w:t>studies</w:t>
      </w:r>
      <w:r w:rsidR="00CC07E5">
        <w:rPr>
          <w:rFonts w:ascii="Arial" w:hAnsi="Arial"/>
          <w:sz w:val="22"/>
        </w:rPr>
        <w:t>. Some of the research is purely informational and involves "big data" analytics applied to health information. Other research involves direct ac</w:t>
      </w:r>
      <w:r w:rsidR="006A221C">
        <w:rPr>
          <w:rFonts w:ascii="Arial" w:hAnsi="Arial"/>
          <w:sz w:val="22"/>
        </w:rPr>
        <w:t>quisition</w:t>
      </w:r>
      <w:r w:rsidR="00CC07E5">
        <w:rPr>
          <w:rFonts w:ascii="Arial" w:hAnsi="Arial"/>
          <w:sz w:val="22"/>
        </w:rPr>
        <w:t xml:space="preserve"> and analysis of clinical measures. DIY Genomics and Quantified Self are two groups noteworthy for their efforts in this field. Ernesto Ramirez, Program Director of Quantified Self</w:t>
      </w:r>
      <w:r w:rsidR="00D147AC">
        <w:rPr>
          <w:rFonts w:ascii="Arial" w:hAnsi="Arial"/>
          <w:sz w:val="22"/>
        </w:rPr>
        <w:t>, will be a speaker at Working Group Meeting #1</w:t>
      </w:r>
      <w:r w:rsidR="00CC07E5">
        <w:rPr>
          <w:rFonts w:ascii="Arial" w:hAnsi="Arial"/>
          <w:sz w:val="22"/>
        </w:rPr>
        <w:t>.</w:t>
      </w:r>
    </w:p>
    <w:p w:rsidR="00216948" w:rsidRDefault="000D41B5" w:rsidP="00423BA8">
      <w:pPr>
        <w:spacing w:after="120" w:line="240" w:lineRule="exact"/>
        <w:jc w:val="both"/>
        <w:rPr>
          <w:rFonts w:ascii="Arial" w:hAnsi="Arial"/>
          <w:sz w:val="22"/>
        </w:rPr>
      </w:pPr>
      <w:r>
        <w:rPr>
          <w:rFonts w:ascii="Arial" w:hAnsi="Arial"/>
          <w:sz w:val="22"/>
        </w:rPr>
        <w:t>A</w:t>
      </w:r>
      <w:r w:rsidR="00CD4E91">
        <w:rPr>
          <w:rFonts w:ascii="Arial" w:hAnsi="Arial"/>
          <w:sz w:val="22"/>
        </w:rPr>
        <w:t xml:space="preserve"> study of</w:t>
      </w:r>
      <w:r w:rsidR="00CC07E5">
        <w:rPr>
          <w:rFonts w:ascii="Arial" w:hAnsi="Arial"/>
          <w:sz w:val="22"/>
        </w:rPr>
        <w:t xml:space="preserve"> the </w:t>
      </w:r>
      <w:r w:rsidR="00447441">
        <w:rPr>
          <w:rFonts w:ascii="Arial" w:hAnsi="Arial"/>
          <w:sz w:val="22"/>
        </w:rPr>
        <w:t>rs1801133</w:t>
      </w:r>
      <w:r w:rsidR="00CC07E5">
        <w:rPr>
          <w:rFonts w:ascii="Arial" w:hAnsi="Arial"/>
          <w:sz w:val="22"/>
        </w:rPr>
        <w:t xml:space="preserve"> allele </w:t>
      </w:r>
      <w:r w:rsidR="00447441">
        <w:rPr>
          <w:rFonts w:ascii="Arial" w:hAnsi="Arial"/>
          <w:sz w:val="22"/>
        </w:rPr>
        <w:t xml:space="preserve">of the </w:t>
      </w:r>
      <w:r w:rsidR="00CC07E5">
        <w:rPr>
          <w:rFonts w:ascii="Arial" w:hAnsi="Arial"/>
          <w:sz w:val="22"/>
        </w:rPr>
        <w:t>MTHFR</w:t>
      </w:r>
      <w:r w:rsidR="00447441">
        <w:rPr>
          <w:rFonts w:ascii="Arial" w:hAnsi="Arial"/>
          <w:sz w:val="22"/>
        </w:rPr>
        <w:t xml:space="preserve"> gene</w:t>
      </w:r>
      <w:r>
        <w:rPr>
          <w:rFonts w:ascii="Arial" w:hAnsi="Arial"/>
          <w:sz w:val="22"/>
        </w:rPr>
        <w:t xml:space="preserve"> was designed to demonstrate the feasibility of citizen science research</w:t>
      </w:r>
      <w:r w:rsidR="00CC07E5">
        <w:rPr>
          <w:rFonts w:ascii="Arial" w:hAnsi="Arial"/>
          <w:sz w:val="22"/>
        </w:rPr>
        <w:t>.</w:t>
      </w:r>
      <w:r w:rsidR="00216948">
        <w:rPr>
          <w:rStyle w:val="EndnoteReference"/>
          <w:rFonts w:ascii="Arial" w:hAnsi="Arial"/>
          <w:sz w:val="22"/>
        </w:rPr>
        <w:endnoteReference w:id="9"/>
      </w:r>
      <w:r w:rsidR="00CC07E5">
        <w:rPr>
          <w:rFonts w:ascii="Arial" w:hAnsi="Arial"/>
          <w:sz w:val="22"/>
        </w:rPr>
        <w:t xml:space="preserve"> Using </w:t>
      </w:r>
      <w:r w:rsidR="00314151">
        <w:rPr>
          <w:rFonts w:ascii="Arial" w:hAnsi="Arial"/>
          <w:sz w:val="22"/>
        </w:rPr>
        <w:t xml:space="preserve">direct-to-consumer genetic tests, the study attempted to correlate the presence of the allele with </w:t>
      </w:r>
      <w:r w:rsidR="00447441">
        <w:rPr>
          <w:rFonts w:ascii="Arial" w:hAnsi="Arial"/>
          <w:sz w:val="22"/>
        </w:rPr>
        <w:t xml:space="preserve">homocysteine </w:t>
      </w:r>
      <w:r w:rsidR="00936AAD">
        <w:rPr>
          <w:rFonts w:ascii="Arial" w:hAnsi="Arial"/>
          <w:sz w:val="22"/>
        </w:rPr>
        <w:t>response</w:t>
      </w:r>
      <w:r w:rsidR="00447441">
        <w:rPr>
          <w:rFonts w:ascii="Arial" w:hAnsi="Arial"/>
          <w:sz w:val="22"/>
        </w:rPr>
        <w:t xml:space="preserve"> </w:t>
      </w:r>
      <w:r>
        <w:rPr>
          <w:rFonts w:ascii="Arial" w:hAnsi="Arial"/>
          <w:sz w:val="22"/>
        </w:rPr>
        <w:t>to</w:t>
      </w:r>
      <w:r w:rsidR="00447441">
        <w:rPr>
          <w:rFonts w:ascii="Arial" w:hAnsi="Arial"/>
          <w:sz w:val="22"/>
        </w:rPr>
        <w:t xml:space="preserve"> vitamin B </w:t>
      </w:r>
      <w:r>
        <w:rPr>
          <w:rFonts w:ascii="Arial" w:hAnsi="Arial"/>
          <w:sz w:val="22"/>
        </w:rPr>
        <w:t>supplements of active and inactive forms</w:t>
      </w:r>
      <w:r w:rsidR="00314151">
        <w:rPr>
          <w:rFonts w:ascii="Arial" w:hAnsi="Arial"/>
          <w:sz w:val="22"/>
        </w:rPr>
        <w:t>, which were measured through analyzing the blood</w:t>
      </w:r>
      <w:r w:rsidR="00CD4E91">
        <w:rPr>
          <w:rFonts w:ascii="Arial" w:hAnsi="Arial"/>
          <w:sz w:val="22"/>
        </w:rPr>
        <w:t xml:space="preserve"> </w:t>
      </w:r>
      <w:r w:rsidR="00314151">
        <w:rPr>
          <w:rFonts w:ascii="Arial" w:hAnsi="Arial"/>
          <w:sz w:val="22"/>
        </w:rPr>
        <w:t xml:space="preserve">of </w:t>
      </w:r>
      <w:r w:rsidR="00CD4E91">
        <w:rPr>
          <w:rFonts w:ascii="Arial" w:hAnsi="Arial"/>
          <w:sz w:val="22"/>
        </w:rPr>
        <w:t xml:space="preserve">the </w:t>
      </w:r>
      <w:r w:rsidR="00314151">
        <w:rPr>
          <w:rFonts w:ascii="Arial" w:hAnsi="Arial"/>
          <w:sz w:val="22"/>
        </w:rPr>
        <w:t xml:space="preserve">participants. </w:t>
      </w:r>
      <w:r w:rsidR="00837C66" w:rsidRPr="00837C66">
        <w:rPr>
          <w:rFonts w:ascii="Arial" w:hAnsi="Arial"/>
          <w:sz w:val="22"/>
        </w:rPr>
        <w:t>The study demonstrated that the effectiveness of certain interventions to lower homocysteine levels varied with the presence of particular alleles and</w:t>
      </w:r>
      <w:r w:rsidR="0005253D">
        <w:rPr>
          <w:rFonts w:ascii="Arial" w:hAnsi="Arial"/>
          <w:sz w:val="22"/>
        </w:rPr>
        <w:t>, more generally,</w:t>
      </w:r>
      <w:r w:rsidR="00837C66" w:rsidRPr="00837C66">
        <w:rPr>
          <w:rFonts w:ascii="Arial" w:hAnsi="Arial"/>
          <w:sz w:val="22"/>
        </w:rPr>
        <w:t xml:space="preserve"> that successful citizen science studies on genomics </w:t>
      </w:r>
      <w:r w:rsidR="002B4166">
        <w:rPr>
          <w:rFonts w:ascii="Arial" w:hAnsi="Arial"/>
          <w:sz w:val="22"/>
        </w:rPr>
        <w:t>a</w:t>
      </w:r>
      <w:r w:rsidR="00837C66" w:rsidRPr="00837C66">
        <w:rPr>
          <w:rFonts w:ascii="Arial" w:hAnsi="Arial"/>
          <w:sz w:val="22"/>
        </w:rPr>
        <w:t>re possible.</w:t>
      </w:r>
    </w:p>
    <w:p w:rsidR="00533E61" w:rsidRDefault="00533E61" w:rsidP="00423BA8">
      <w:pPr>
        <w:spacing w:after="120" w:line="240" w:lineRule="exact"/>
        <w:jc w:val="both"/>
        <w:rPr>
          <w:rFonts w:ascii="Arial" w:hAnsi="Arial"/>
          <w:sz w:val="22"/>
        </w:rPr>
      </w:pPr>
      <w:r w:rsidRPr="00533E61">
        <w:rPr>
          <w:rFonts w:ascii="Arial" w:hAnsi="Arial"/>
          <w:sz w:val="22"/>
        </w:rPr>
        <w:t xml:space="preserve">4. </w:t>
      </w:r>
      <w:r w:rsidR="00CE7F34">
        <w:rPr>
          <w:rFonts w:ascii="Arial" w:hAnsi="Arial"/>
          <w:i/>
          <w:sz w:val="22"/>
          <w:u w:val="single"/>
        </w:rPr>
        <w:t>Data not gathered for research</w:t>
      </w:r>
      <w:r w:rsidR="00AA4535">
        <w:rPr>
          <w:rFonts w:ascii="Arial" w:hAnsi="Arial"/>
          <w:sz w:val="22"/>
        </w:rPr>
        <w:t xml:space="preserve">. Health apps, including wearables, typically collect significant amounts of individual health data. In addition, many apps collect other information about and unbeknownst to the user, including user location, messages, </w:t>
      </w:r>
      <w:r w:rsidR="002B4166">
        <w:rPr>
          <w:rFonts w:ascii="Arial" w:hAnsi="Arial"/>
          <w:sz w:val="22"/>
        </w:rPr>
        <w:t>“</w:t>
      </w:r>
      <w:r w:rsidR="00AA4535">
        <w:rPr>
          <w:rFonts w:ascii="Arial" w:hAnsi="Arial"/>
          <w:sz w:val="22"/>
        </w:rPr>
        <w:t>photos</w:t>
      </w:r>
      <w:r w:rsidR="00415F45">
        <w:rPr>
          <w:rFonts w:ascii="Arial" w:hAnsi="Arial"/>
          <w:sz w:val="22"/>
        </w:rPr>
        <w:t xml:space="preserve">, </w:t>
      </w:r>
      <w:r w:rsidR="00AA4535">
        <w:rPr>
          <w:rFonts w:ascii="Arial" w:hAnsi="Arial"/>
          <w:sz w:val="22"/>
        </w:rPr>
        <w:t>videos, credit card information, and even facial features.</w:t>
      </w:r>
      <w:r w:rsidR="002B4166">
        <w:rPr>
          <w:rFonts w:ascii="Arial" w:hAnsi="Arial"/>
          <w:sz w:val="22"/>
        </w:rPr>
        <w:t>”</w:t>
      </w:r>
      <w:r w:rsidR="00AA4535">
        <w:rPr>
          <w:rStyle w:val="EndnoteReference"/>
          <w:rFonts w:ascii="Arial" w:hAnsi="Arial"/>
          <w:sz w:val="22"/>
        </w:rPr>
        <w:endnoteReference w:id="10"/>
      </w:r>
      <w:r w:rsidR="00CB176A">
        <w:rPr>
          <w:rFonts w:ascii="Arial" w:hAnsi="Arial"/>
          <w:sz w:val="22"/>
        </w:rPr>
        <w:t xml:space="preserve"> </w:t>
      </w:r>
      <w:r w:rsidR="00C932D8">
        <w:rPr>
          <w:rFonts w:ascii="Arial" w:hAnsi="Arial"/>
          <w:sz w:val="22"/>
        </w:rPr>
        <w:t>P</w:t>
      </w:r>
      <w:r w:rsidR="00CB176A">
        <w:rPr>
          <w:rFonts w:ascii="Arial" w:hAnsi="Arial"/>
          <w:sz w:val="22"/>
        </w:rPr>
        <w:t>ermission to activate the camera, microphone, or tracking on a phone</w:t>
      </w:r>
      <w:r w:rsidR="00C932D8">
        <w:rPr>
          <w:rFonts w:ascii="Arial" w:hAnsi="Arial"/>
          <w:sz w:val="22"/>
        </w:rPr>
        <w:t xml:space="preserve"> may be required in order to download an app</w:t>
      </w:r>
      <w:r w:rsidR="00CB176A">
        <w:rPr>
          <w:rFonts w:ascii="Arial" w:hAnsi="Arial"/>
          <w:sz w:val="22"/>
        </w:rPr>
        <w:t>.</w:t>
      </w:r>
      <w:r w:rsidR="00CB176A">
        <w:rPr>
          <w:rStyle w:val="EndnoteReference"/>
          <w:rFonts w:ascii="Arial" w:hAnsi="Arial"/>
          <w:sz w:val="22"/>
        </w:rPr>
        <w:endnoteReference w:id="11"/>
      </w:r>
      <w:r w:rsidR="00CB176A">
        <w:rPr>
          <w:rFonts w:ascii="Arial" w:hAnsi="Arial"/>
          <w:sz w:val="22"/>
        </w:rPr>
        <w:t xml:space="preserve"> Although some apps have privacy policies, </w:t>
      </w:r>
      <w:r w:rsidR="002B4166">
        <w:rPr>
          <w:rFonts w:ascii="Arial" w:hAnsi="Arial"/>
          <w:sz w:val="22"/>
        </w:rPr>
        <w:t>“</w:t>
      </w:r>
      <w:r w:rsidR="00CB176A">
        <w:rPr>
          <w:rFonts w:ascii="Arial" w:hAnsi="Arial"/>
          <w:sz w:val="22"/>
        </w:rPr>
        <w:t>it is nearly impossible for users to maintain control of their data, its diffusion, and subsequent uses</w:t>
      </w:r>
      <w:r w:rsidR="00A66D2A">
        <w:rPr>
          <w:rFonts w:ascii="Arial" w:hAnsi="Arial"/>
          <w:sz w:val="22"/>
        </w:rPr>
        <w:t xml:space="preserve"> . . . [and therefore] the notion of consenting to research use of data loses meaning.</w:t>
      </w:r>
      <w:r w:rsidR="002B4166">
        <w:rPr>
          <w:rFonts w:ascii="Arial" w:hAnsi="Arial"/>
          <w:sz w:val="22"/>
        </w:rPr>
        <w:t>”</w:t>
      </w:r>
      <w:r w:rsidR="00A66D2A">
        <w:rPr>
          <w:rStyle w:val="EndnoteReference"/>
          <w:rFonts w:ascii="Arial" w:hAnsi="Arial"/>
          <w:sz w:val="22"/>
        </w:rPr>
        <w:endnoteReference w:id="12"/>
      </w:r>
      <w:r w:rsidR="00216948">
        <w:rPr>
          <w:rFonts w:ascii="Arial" w:hAnsi="Arial"/>
          <w:sz w:val="22"/>
        </w:rPr>
        <w:t xml:space="preserve"> </w:t>
      </w:r>
    </w:p>
    <w:p w:rsidR="0042348C" w:rsidRDefault="00A66D2A" w:rsidP="00423BA8">
      <w:pPr>
        <w:spacing w:after="120" w:line="240" w:lineRule="exact"/>
        <w:jc w:val="both"/>
        <w:rPr>
          <w:rFonts w:ascii="Arial" w:hAnsi="Arial"/>
          <w:sz w:val="22"/>
        </w:rPr>
      </w:pPr>
      <w:r>
        <w:rPr>
          <w:rFonts w:ascii="Arial" w:hAnsi="Arial"/>
          <w:sz w:val="22"/>
        </w:rPr>
        <w:t>The volume and value of data from mobile devices has soared, and it has spawn</w:t>
      </w:r>
      <w:r w:rsidR="00415F45">
        <w:rPr>
          <w:rFonts w:ascii="Arial" w:hAnsi="Arial"/>
          <w:sz w:val="22"/>
        </w:rPr>
        <w:t xml:space="preserve">ed an entire industry of </w:t>
      </w:r>
      <w:r>
        <w:rPr>
          <w:rFonts w:ascii="Arial" w:hAnsi="Arial"/>
          <w:sz w:val="22"/>
        </w:rPr>
        <w:t xml:space="preserve">data brokers. Data collected from apps generated </w:t>
      </w:r>
      <w:r w:rsidR="002B4166">
        <w:rPr>
          <w:rFonts w:ascii="Arial" w:hAnsi="Arial"/>
          <w:sz w:val="22"/>
        </w:rPr>
        <w:t>“</w:t>
      </w:r>
      <w:r>
        <w:rPr>
          <w:rFonts w:ascii="Arial" w:hAnsi="Arial"/>
          <w:sz w:val="22"/>
        </w:rPr>
        <w:t>an estimated $5.5 billion in revenue in 2013.</w:t>
      </w:r>
      <w:r>
        <w:rPr>
          <w:rStyle w:val="EndnoteReference"/>
          <w:rFonts w:ascii="Arial" w:hAnsi="Arial"/>
          <w:sz w:val="22"/>
        </w:rPr>
        <w:endnoteReference w:id="13"/>
      </w:r>
      <w:r>
        <w:rPr>
          <w:rFonts w:ascii="Arial" w:hAnsi="Arial"/>
          <w:sz w:val="22"/>
        </w:rPr>
        <w:t xml:space="preserve"> Most of the revenue is generated through marketing, but a</w:t>
      </w:r>
      <w:r w:rsidR="00837C66">
        <w:rPr>
          <w:rFonts w:ascii="Arial" w:hAnsi="Arial"/>
          <w:sz w:val="22"/>
        </w:rPr>
        <w:t xml:space="preserve">n unknown and </w:t>
      </w:r>
      <w:r w:rsidR="0005253D">
        <w:rPr>
          <w:rFonts w:ascii="Arial" w:hAnsi="Arial"/>
          <w:sz w:val="22"/>
        </w:rPr>
        <w:t>undoubt</w:t>
      </w:r>
      <w:r w:rsidR="00837C66">
        <w:rPr>
          <w:rFonts w:ascii="Arial" w:hAnsi="Arial"/>
          <w:sz w:val="22"/>
        </w:rPr>
        <w:t>edly</w:t>
      </w:r>
      <w:r>
        <w:rPr>
          <w:rFonts w:ascii="Arial" w:hAnsi="Arial"/>
          <w:sz w:val="22"/>
        </w:rPr>
        <w:t xml:space="preserve"> growing amount of revenue is derived from research.</w:t>
      </w:r>
      <w:r w:rsidR="002B4166">
        <w:rPr>
          <w:rFonts w:ascii="Arial" w:hAnsi="Arial"/>
          <w:sz w:val="22"/>
        </w:rPr>
        <w:t>”</w:t>
      </w:r>
      <w:r w:rsidR="00B762A6">
        <w:rPr>
          <w:rFonts w:ascii="Arial" w:hAnsi="Arial"/>
          <w:sz w:val="22"/>
        </w:rPr>
        <w:t xml:space="preserve"> </w:t>
      </w:r>
      <w:r w:rsidR="00415F45">
        <w:rPr>
          <w:rFonts w:ascii="Arial" w:hAnsi="Arial"/>
          <w:sz w:val="22"/>
        </w:rPr>
        <w:t>Among the many customers of health data brokers are pharmaceutical companies.</w:t>
      </w:r>
      <w:r w:rsidR="00415F45">
        <w:rPr>
          <w:rStyle w:val="EndnoteReference"/>
          <w:rFonts w:ascii="Arial" w:hAnsi="Arial"/>
          <w:sz w:val="22"/>
        </w:rPr>
        <w:endnoteReference w:id="14"/>
      </w:r>
      <w:r w:rsidR="00415F45">
        <w:rPr>
          <w:rFonts w:ascii="Arial" w:hAnsi="Arial"/>
          <w:sz w:val="22"/>
        </w:rPr>
        <w:t xml:space="preserve"> There have been no </w:t>
      </w:r>
      <w:r w:rsidR="00D147AC">
        <w:rPr>
          <w:rFonts w:ascii="Arial" w:hAnsi="Arial"/>
          <w:sz w:val="22"/>
        </w:rPr>
        <w:t xml:space="preserve">detailed </w:t>
      </w:r>
      <w:r w:rsidR="00415F45">
        <w:rPr>
          <w:rFonts w:ascii="Arial" w:hAnsi="Arial"/>
          <w:sz w:val="22"/>
        </w:rPr>
        <w:t>studies of the un</w:t>
      </w:r>
      <w:r w:rsidR="00CE7F34">
        <w:rPr>
          <w:rFonts w:ascii="Arial" w:hAnsi="Arial"/>
          <w:sz w:val="22"/>
        </w:rPr>
        <w:t>consent</w:t>
      </w:r>
      <w:r w:rsidR="00415F45">
        <w:rPr>
          <w:rFonts w:ascii="Arial" w:hAnsi="Arial"/>
          <w:sz w:val="22"/>
        </w:rPr>
        <w:t>ed research uses of health app d</w:t>
      </w:r>
      <w:r w:rsidR="0005253D">
        <w:rPr>
          <w:rFonts w:ascii="Arial" w:hAnsi="Arial"/>
          <w:sz w:val="22"/>
        </w:rPr>
        <w:t>ata, but in light of the amount</w:t>
      </w:r>
      <w:r w:rsidR="00415F45">
        <w:rPr>
          <w:rFonts w:ascii="Arial" w:hAnsi="Arial"/>
          <w:sz w:val="22"/>
        </w:rPr>
        <w:t>, nature</w:t>
      </w:r>
      <w:r w:rsidR="0005253D">
        <w:rPr>
          <w:rFonts w:ascii="Arial" w:hAnsi="Arial"/>
          <w:sz w:val="22"/>
        </w:rPr>
        <w:t>,</w:t>
      </w:r>
      <w:r w:rsidR="00415F45">
        <w:rPr>
          <w:rFonts w:ascii="Arial" w:hAnsi="Arial"/>
          <w:sz w:val="22"/>
        </w:rPr>
        <w:t xml:space="preserve"> </w:t>
      </w:r>
      <w:r w:rsidR="0005253D">
        <w:rPr>
          <w:rFonts w:ascii="Arial" w:hAnsi="Arial"/>
          <w:sz w:val="22"/>
        </w:rPr>
        <w:t>and</w:t>
      </w:r>
      <w:r w:rsidR="00415F45">
        <w:rPr>
          <w:rFonts w:ascii="Arial" w:hAnsi="Arial"/>
          <w:sz w:val="22"/>
        </w:rPr>
        <w:t xml:space="preserve"> value of the data</w:t>
      </w:r>
      <w:r w:rsidR="0005253D">
        <w:rPr>
          <w:rFonts w:ascii="Arial" w:hAnsi="Arial"/>
          <w:sz w:val="22"/>
        </w:rPr>
        <w:t>;</w:t>
      </w:r>
      <w:r w:rsidR="00415F45">
        <w:rPr>
          <w:rFonts w:ascii="Arial" w:hAnsi="Arial"/>
          <w:sz w:val="22"/>
        </w:rPr>
        <w:t xml:space="preserve"> the ease with which it can be monetized</w:t>
      </w:r>
      <w:r w:rsidR="0005253D">
        <w:rPr>
          <w:rFonts w:ascii="Arial" w:hAnsi="Arial"/>
          <w:sz w:val="22"/>
        </w:rPr>
        <w:t>;</w:t>
      </w:r>
      <w:r w:rsidR="00415F45">
        <w:rPr>
          <w:rFonts w:ascii="Arial" w:hAnsi="Arial"/>
          <w:sz w:val="22"/>
        </w:rPr>
        <w:t xml:space="preserve"> and the lack of regulation</w:t>
      </w:r>
      <w:r w:rsidR="0005253D">
        <w:rPr>
          <w:rFonts w:ascii="Arial" w:hAnsi="Arial"/>
          <w:sz w:val="22"/>
        </w:rPr>
        <w:t>;</w:t>
      </w:r>
      <w:r w:rsidR="00415F45">
        <w:rPr>
          <w:rFonts w:ascii="Arial" w:hAnsi="Arial"/>
          <w:sz w:val="22"/>
        </w:rPr>
        <w:t xml:space="preserve"> it would </w:t>
      </w:r>
      <w:r w:rsidR="00837C66">
        <w:rPr>
          <w:rFonts w:ascii="Arial" w:hAnsi="Arial"/>
          <w:sz w:val="22"/>
        </w:rPr>
        <w:t>seem</w:t>
      </w:r>
      <w:r w:rsidR="00415F45">
        <w:rPr>
          <w:rFonts w:ascii="Arial" w:hAnsi="Arial"/>
          <w:sz w:val="22"/>
        </w:rPr>
        <w:t xml:space="preserve"> that the sale of health app data to researchers is taking place now </w:t>
      </w:r>
      <w:r w:rsidR="00837C66">
        <w:rPr>
          <w:rFonts w:ascii="Arial" w:hAnsi="Arial"/>
          <w:sz w:val="22"/>
        </w:rPr>
        <w:t>and</w:t>
      </w:r>
      <w:r w:rsidR="00415F45">
        <w:rPr>
          <w:rFonts w:ascii="Arial" w:hAnsi="Arial"/>
          <w:sz w:val="22"/>
        </w:rPr>
        <w:t xml:space="preserve"> will become increasingly common. </w:t>
      </w:r>
      <w:r w:rsidR="0042348C">
        <w:rPr>
          <w:rFonts w:ascii="Arial" w:hAnsi="Arial"/>
          <w:sz w:val="22"/>
        </w:rPr>
        <w:t xml:space="preserve">Indeed, </w:t>
      </w:r>
      <w:r w:rsidR="00D147AC">
        <w:rPr>
          <w:rFonts w:ascii="Arial" w:hAnsi="Arial"/>
          <w:sz w:val="22"/>
        </w:rPr>
        <w:t xml:space="preserve">preliminary </w:t>
      </w:r>
      <w:r w:rsidR="0042348C">
        <w:rPr>
          <w:rFonts w:ascii="Arial" w:hAnsi="Arial"/>
          <w:sz w:val="22"/>
        </w:rPr>
        <w:t>studies have documented the sharing of health information obtained by mobile apps,</w:t>
      </w:r>
      <w:r w:rsidR="0042348C">
        <w:rPr>
          <w:rStyle w:val="EndnoteReference"/>
          <w:rFonts w:ascii="Arial" w:hAnsi="Arial"/>
          <w:sz w:val="22"/>
        </w:rPr>
        <w:endnoteReference w:id="15"/>
      </w:r>
      <w:r w:rsidR="0042348C">
        <w:rPr>
          <w:rFonts w:ascii="Arial" w:hAnsi="Arial"/>
          <w:sz w:val="22"/>
        </w:rPr>
        <w:t xml:space="preserve"> including s</w:t>
      </w:r>
      <w:r w:rsidR="00D30347">
        <w:rPr>
          <w:rFonts w:ascii="Arial" w:hAnsi="Arial"/>
          <w:sz w:val="22"/>
        </w:rPr>
        <w:t>elling</w:t>
      </w:r>
      <w:r w:rsidR="0042348C">
        <w:rPr>
          <w:rFonts w:ascii="Arial" w:hAnsi="Arial"/>
          <w:sz w:val="22"/>
        </w:rPr>
        <w:t xml:space="preserve"> information for research.</w:t>
      </w:r>
      <w:r w:rsidR="0042348C">
        <w:rPr>
          <w:rStyle w:val="EndnoteReference"/>
          <w:rFonts w:ascii="Arial" w:hAnsi="Arial"/>
          <w:sz w:val="22"/>
        </w:rPr>
        <w:endnoteReference w:id="16"/>
      </w:r>
      <w:r w:rsidR="0042348C">
        <w:rPr>
          <w:rFonts w:ascii="Arial" w:hAnsi="Arial"/>
          <w:sz w:val="22"/>
        </w:rPr>
        <w:t xml:space="preserve"> </w:t>
      </w:r>
    </w:p>
    <w:p w:rsidR="00CE7F34" w:rsidRPr="00CE7F34" w:rsidRDefault="00980393" w:rsidP="000D41B5">
      <w:pPr>
        <w:spacing w:after="60" w:line="240" w:lineRule="exact"/>
        <w:jc w:val="both"/>
        <w:rPr>
          <w:rFonts w:ascii="Arial" w:hAnsi="Arial"/>
          <w:sz w:val="22"/>
        </w:rPr>
      </w:pPr>
      <w:r>
        <w:rPr>
          <w:rFonts w:ascii="Arial" w:hAnsi="Arial"/>
          <w:b/>
          <w:sz w:val="22"/>
        </w:rPr>
        <w:t>Regulation of research</w:t>
      </w:r>
      <w:r w:rsidR="005A23CA">
        <w:rPr>
          <w:rFonts w:ascii="Arial" w:hAnsi="Arial"/>
          <w:b/>
          <w:sz w:val="22"/>
        </w:rPr>
        <w:t xml:space="preserve"> and mobile devices</w:t>
      </w:r>
      <w:r w:rsidR="00EA3D10" w:rsidRPr="00577AD2">
        <w:rPr>
          <w:rFonts w:ascii="Arial" w:hAnsi="Arial"/>
          <w:b/>
          <w:sz w:val="22"/>
        </w:rPr>
        <w:t xml:space="preserve">. </w:t>
      </w:r>
      <w:r w:rsidR="00CE7F34" w:rsidRPr="00CE7F34">
        <w:rPr>
          <w:rFonts w:ascii="Arial" w:hAnsi="Arial"/>
          <w:sz w:val="22"/>
        </w:rPr>
        <w:t xml:space="preserve">The first step in analyzing the ELSI issues raised by health research using mobile devices is to determine whether the </w:t>
      </w:r>
      <w:r w:rsidR="00685E47">
        <w:rPr>
          <w:rFonts w:ascii="Arial" w:hAnsi="Arial"/>
          <w:sz w:val="22"/>
        </w:rPr>
        <w:t xml:space="preserve">Common Rule or other </w:t>
      </w:r>
      <w:r w:rsidR="00CE7F34" w:rsidRPr="00CE7F34">
        <w:rPr>
          <w:rFonts w:ascii="Arial" w:hAnsi="Arial"/>
          <w:sz w:val="22"/>
        </w:rPr>
        <w:t xml:space="preserve">regulations apply. </w:t>
      </w:r>
    </w:p>
    <w:p w:rsidR="00F52EC7" w:rsidRPr="00577AD2" w:rsidRDefault="00685E47" w:rsidP="00423BA8">
      <w:pPr>
        <w:spacing w:after="120" w:line="240" w:lineRule="exact"/>
        <w:jc w:val="both"/>
        <w:rPr>
          <w:rFonts w:ascii="Arial" w:hAnsi="Arial"/>
          <w:sz w:val="22"/>
        </w:rPr>
      </w:pPr>
      <w:r w:rsidRPr="00685E47">
        <w:rPr>
          <w:rFonts w:ascii="Arial" w:hAnsi="Arial"/>
          <w:sz w:val="22"/>
        </w:rPr>
        <w:t xml:space="preserve">1. </w:t>
      </w:r>
      <w:r w:rsidR="00F1352A" w:rsidRPr="00CF702B">
        <w:rPr>
          <w:rFonts w:ascii="Arial" w:hAnsi="Arial"/>
          <w:i/>
          <w:sz w:val="22"/>
          <w:u w:val="single"/>
        </w:rPr>
        <w:t>Applicability of the Common Rule</w:t>
      </w:r>
      <w:r w:rsidR="00F1352A" w:rsidRPr="00577AD2">
        <w:rPr>
          <w:rFonts w:ascii="Arial" w:hAnsi="Arial"/>
          <w:i/>
          <w:sz w:val="22"/>
        </w:rPr>
        <w:t xml:space="preserve">. </w:t>
      </w:r>
      <w:r w:rsidR="00F1352A" w:rsidRPr="00577AD2">
        <w:rPr>
          <w:rFonts w:ascii="Arial" w:hAnsi="Arial"/>
          <w:sz w:val="22"/>
        </w:rPr>
        <w:t>The Common Rule applies "to all research involving human subjects conducted, supported or otherwise subject to regulation by any federal department or agency which takes appropriate administrative action to make the policy applicable to such research."</w:t>
      </w:r>
      <w:r w:rsidR="00F1352A" w:rsidRPr="00577AD2">
        <w:rPr>
          <w:rStyle w:val="EndnoteReference"/>
          <w:rFonts w:ascii="Arial" w:hAnsi="Arial"/>
          <w:sz w:val="22"/>
        </w:rPr>
        <w:endnoteReference w:id="17"/>
      </w:r>
      <w:r w:rsidR="00F1352A" w:rsidRPr="00577AD2">
        <w:rPr>
          <w:rFonts w:ascii="Arial" w:hAnsi="Arial"/>
          <w:sz w:val="22"/>
        </w:rPr>
        <w:t xml:space="preserve"> In addition, the Common Rule applies to all research, regardless of funding source, undertaken by entities that have signed a Federal-wide Assurance with the Department of Health and Human Services.</w:t>
      </w:r>
      <w:r w:rsidR="00F1352A" w:rsidRPr="00577AD2">
        <w:rPr>
          <w:rStyle w:val="EndnoteReference"/>
          <w:rFonts w:ascii="Arial" w:hAnsi="Arial"/>
          <w:sz w:val="22"/>
        </w:rPr>
        <w:endnoteReference w:id="18"/>
      </w:r>
      <w:r w:rsidR="00F1352A" w:rsidRPr="00577AD2">
        <w:rPr>
          <w:rFonts w:ascii="Arial" w:hAnsi="Arial"/>
          <w:sz w:val="22"/>
        </w:rPr>
        <w:t xml:space="preserve"> </w:t>
      </w:r>
      <w:r w:rsidR="00C051A1" w:rsidRPr="00577AD2">
        <w:rPr>
          <w:rFonts w:ascii="Arial" w:hAnsi="Arial"/>
          <w:sz w:val="22"/>
        </w:rPr>
        <w:t>V</w:t>
      </w:r>
      <w:r w:rsidR="00F52EC7" w:rsidRPr="00577AD2">
        <w:rPr>
          <w:rFonts w:ascii="Arial" w:hAnsi="Arial"/>
          <w:sz w:val="22"/>
        </w:rPr>
        <w:t xml:space="preserve">irtually all American academic and health care institutions are </w:t>
      </w:r>
      <w:r w:rsidR="00CF702B">
        <w:rPr>
          <w:rFonts w:ascii="Arial" w:hAnsi="Arial"/>
          <w:sz w:val="22"/>
        </w:rPr>
        <w:t>subject to the Common Rule</w:t>
      </w:r>
      <w:r w:rsidR="00F52EC7" w:rsidRPr="00577AD2">
        <w:rPr>
          <w:rFonts w:ascii="Arial" w:hAnsi="Arial"/>
          <w:sz w:val="22"/>
        </w:rPr>
        <w:t xml:space="preserve"> for all of their research involving human participants. Other researc</w:t>
      </w:r>
      <w:r w:rsidR="0094479A">
        <w:rPr>
          <w:rFonts w:ascii="Arial" w:hAnsi="Arial"/>
          <w:sz w:val="22"/>
        </w:rPr>
        <w:t xml:space="preserve">h directed or funded by any </w:t>
      </w:r>
      <w:r w:rsidR="00F52EC7" w:rsidRPr="00577AD2">
        <w:rPr>
          <w:rFonts w:ascii="Arial" w:hAnsi="Arial"/>
          <w:sz w:val="22"/>
        </w:rPr>
        <w:t xml:space="preserve">of the </w:t>
      </w:r>
      <w:r w:rsidR="0094479A">
        <w:rPr>
          <w:rFonts w:ascii="Arial" w:hAnsi="Arial"/>
          <w:sz w:val="22"/>
        </w:rPr>
        <w:t>18</w:t>
      </w:r>
      <w:r w:rsidR="00F52EC7" w:rsidRPr="00577AD2">
        <w:rPr>
          <w:rFonts w:ascii="Arial" w:hAnsi="Arial"/>
          <w:sz w:val="22"/>
        </w:rPr>
        <w:t xml:space="preserve"> Common Rule signatory agencies is also covered. Research undertaken and funded by independent entities or individuals, however, is generally not subject to the Common Rule.</w:t>
      </w:r>
    </w:p>
    <w:p w:rsidR="00EA3D10" w:rsidRPr="00577AD2" w:rsidRDefault="00685E47" w:rsidP="00423BA8">
      <w:pPr>
        <w:spacing w:after="120" w:line="240" w:lineRule="exact"/>
        <w:jc w:val="both"/>
        <w:rPr>
          <w:rFonts w:ascii="Arial" w:hAnsi="Arial"/>
          <w:sz w:val="22"/>
        </w:rPr>
      </w:pPr>
      <w:r w:rsidRPr="00685E47">
        <w:rPr>
          <w:rFonts w:ascii="Arial" w:hAnsi="Arial"/>
          <w:sz w:val="22"/>
        </w:rPr>
        <w:t xml:space="preserve">2. </w:t>
      </w:r>
      <w:r w:rsidR="00F52EC7" w:rsidRPr="00CF702B">
        <w:rPr>
          <w:rFonts w:ascii="Arial" w:hAnsi="Arial"/>
          <w:i/>
          <w:sz w:val="22"/>
          <w:u w:val="single"/>
        </w:rPr>
        <w:t>FDA regulation of research</w:t>
      </w:r>
      <w:r w:rsidR="00F52EC7" w:rsidRPr="00577AD2">
        <w:rPr>
          <w:rFonts w:ascii="Arial" w:hAnsi="Arial"/>
          <w:i/>
          <w:sz w:val="22"/>
        </w:rPr>
        <w:t>.</w:t>
      </w:r>
      <w:r w:rsidR="00F1352A" w:rsidRPr="00577AD2">
        <w:rPr>
          <w:rFonts w:ascii="Arial" w:hAnsi="Arial"/>
          <w:sz w:val="22"/>
        </w:rPr>
        <w:t xml:space="preserve">  </w:t>
      </w:r>
      <w:r w:rsidR="00F52EC7" w:rsidRPr="00577AD2">
        <w:rPr>
          <w:rFonts w:ascii="Arial" w:hAnsi="Arial"/>
          <w:sz w:val="22"/>
        </w:rPr>
        <w:t>Th</w:t>
      </w:r>
      <w:r w:rsidR="0094479A">
        <w:rPr>
          <w:rFonts w:ascii="Arial" w:hAnsi="Arial"/>
          <w:sz w:val="22"/>
        </w:rPr>
        <w:t xml:space="preserve">e </w:t>
      </w:r>
      <w:r w:rsidR="00F52EC7" w:rsidRPr="00577AD2">
        <w:rPr>
          <w:rFonts w:ascii="Arial" w:hAnsi="Arial"/>
          <w:sz w:val="22"/>
        </w:rPr>
        <w:t xml:space="preserve">FDA has issued </w:t>
      </w:r>
      <w:r w:rsidR="00FA4AF3" w:rsidRPr="00577AD2">
        <w:rPr>
          <w:rFonts w:ascii="Arial" w:hAnsi="Arial"/>
          <w:sz w:val="22"/>
        </w:rPr>
        <w:t xml:space="preserve">its own </w:t>
      </w:r>
      <w:r w:rsidR="00F52EC7" w:rsidRPr="00577AD2">
        <w:rPr>
          <w:rFonts w:ascii="Arial" w:hAnsi="Arial"/>
          <w:sz w:val="22"/>
        </w:rPr>
        <w:t>regulations that generally mirror the Common Rule.</w:t>
      </w:r>
      <w:r w:rsidR="00F52EC7" w:rsidRPr="00577AD2">
        <w:rPr>
          <w:rStyle w:val="EndnoteReference"/>
          <w:rFonts w:ascii="Arial" w:hAnsi="Arial"/>
          <w:sz w:val="22"/>
        </w:rPr>
        <w:endnoteReference w:id="19"/>
      </w:r>
      <w:r w:rsidR="00F52EC7" w:rsidRPr="00577AD2">
        <w:rPr>
          <w:rFonts w:ascii="Arial" w:hAnsi="Arial"/>
          <w:sz w:val="22"/>
        </w:rPr>
        <w:t xml:space="preserve"> They apply to research involving investigational drugs and medical devices using human participants.</w:t>
      </w:r>
      <w:r w:rsidR="00F52EC7" w:rsidRPr="00577AD2">
        <w:rPr>
          <w:rStyle w:val="EndnoteReference"/>
          <w:rFonts w:ascii="Arial" w:hAnsi="Arial"/>
          <w:sz w:val="22"/>
        </w:rPr>
        <w:endnoteReference w:id="20"/>
      </w:r>
      <w:r w:rsidR="00F52EC7" w:rsidRPr="00577AD2">
        <w:rPr>
          <w:rFonts w:ascii="Arial" w:hAnsi="Arial"/>
          <w:sz w:val="22"/>
        </w:rPr>
        <w:t xml:space="preserve"> Any research intended to support a submission to the FDA for approval of </w:t>
      </w:r>
      <w:r w:rsidR="005864B0">
        <w:rPr>
          <w:rFonts w:ascii="Arial" w:hAnsi="Arial"/>
          <w:sz w:val="22"/>
        </w:rPr>
        <w:t xml:space="preserve">a </w:t>
      </w:r>
      <w:r w:rsidR="00F52EC7" w:rsidRPr="00577AD2">
        <w:rPr>
          <w:rFonts w:ascii="Arial" w:hAnsi="Arial"/>
          <w:sz w:val="22"/>
        </w:rPr>
        <w:t xml:space="preserve">drug or </w:t>
      </w:r>
      <w:r w:rsidR="00CF702B">
        <w:rPr>
          <w:rFonts w:ascii="Arial" w:hAnsi="Arial"/>
          <w:sz w:val="22"/>
        </w:rPr>
        <w:t xml:space="preserve">medical </w:t>
      </w:r>
      <w:r w:rsidR="00F52EC7" w:rsidRPr="00577AD2">
        <w:rPr>
          <w:rFonts w:ascii="Arial" w:hAnsi="Arial"/>
          <w:sz w:val="22"/>
        </w:rPr>
        <w:t>device must comply with the FDA regulations. The FDA</w:t>
      </w:r>
      <w:r w:rsidR="00D245D8">
        <w:rPr>
          <w:rFonts w:ascii="Arial" w:hAnsi="Arial"/>
          <w:sz w:val="22"/>
        </w:rPr>
        <w:t xml:space="preserve"> regulations apply to privately-</w:t>
      </w:r>
      <w:r w:rsidR="00F52EC7" w:rsidRPr="00577AD2">
        <w:rPr>
          <w:rFonts w:ascii="Arial" w:hAnsi="Arial"/>
          <w:sz w:val="22"/>
        </w:rPr>
        <w:t>funded research</w:t>
      </w:r>
      <w:r w:rsidR="00443014">
        <w:rPr>
          <w:rFonts w:ascii="Arial" w:hAnsi="Arial"/>
          <w:sz w:val="22"/>
        </w:rPr>
        <w:t xml:space="preserve"> using human subjects</w:t>
      </w:r>
      <w:r w:rsidR="00F52EC7" w:rsidRPr="00577AD2">
        <w:rPr>
          <w:rFonts w:ascii="Arial" w:hAnsi="Arial"/>
          <w:sz w:val="22"/>
        </w:rPr>
        <w:t xml:space="preserve"> undertaken by pharmaceutical and medical device companies and their research partners, but research </w:t>
      </w:r>
      <w:r w:rsidR="00F52EC7" w:rsidRPr="00D147AC">
        <w:rPr>
          <w:rFonts w:ascii="Arial" w:hAnsi="Arial"/>
          <w:sz w:val="22"/>
        </w:rPr>
        <w:t>not</w:t>
      </w:r>
      <w:r w:rsidR="00F52EC7" w:rsidRPr="00577AD2">
        <w:rPr>
          <w:rFonts w:ascii="Arial" w:hAnsi="Arial"/>
          <w:sz w:val="22"/>
        </w:rPr>
        <w:t xml:space="preserve"> undertaken to support an application to the FDA is not subject to these regulations.</w:t>
      </w:r>
    </w:p>
    <w:p w:rsidR="00F52EC7" w:rsidRDefault="00685E47" w:rsidP="00423BA8">
      <w:pPr>
        <w:spacing w:after="120" w:line="240" w:lineRule="exact"/>
        <w:jc w:val="both"/>
        <w:rPr>
          <w:rFonts w:ascii="Arial" w:hAnsi="Arial"/>
          <w:sz w:val="22"/>
        </w:rPr>
      </w:pPr>
      <w:r w:rsidRPr="00685E47">
        <w:rPr>
          <w:rFonts w:ascii="Arial" w:hAnsi="Arial"/>
          <w:sz w:val="22"/>
        </w:rPr>
        <w:t xml:space="preserve">3. </w:t>
      </w:r>
      <w:r w:rsidR="00F52EC7" w:rsidRPr="00CF702B">
        <w:rPr>
          <w:rFonts w:ascii="Arial" w:hAnsi="Arial"/>
          <w:i/>
          <w:sz w:val="22"/>
          <w:u w:val="single"/>
        </w:rPr>
        <w:t xml:space="preserve">FDA regulation of mobile </w:t>
      </w:r>
      <w:r w:rsidR="002E48E5">
        <w:rPr>
          <w:rFonts w:ascii="Arial" w:hAnsi="Arial"/>
          <w:i/>
          <w:sz w:val="22"/>
          <w:u w:val="single"/>
        </w:rPr>
        <w:t>health (mHealth)</w:t>
      </w:r>
      <w:r w:rsidR="00F52EC7" w:rsidRPr="00CF702B">
        <w:rPr>
          <w:rFonts w:ascii="Arial" w:hAnsi="Arial"/>
          <w:i/>
          <w:sz w:val="22"/>
          <w:u w:val="single"/>
        </w:rPr>
        <w:t xml:space="preserve"> applications</w:t>
      </w:r>
      <w:r w:rsidR="00F52EC7" w:rsidRPr="00577AD2">
        <w:rPr>
          <w:rFonts w:ascii="Arial" w:hAnsi="Arial"/>
          <w:i/>
          <w:sz w:val="22"/>
        </w:rPr>
        <w:t xml:space="preserve">. </w:t>
      </w:r>
      <w:r w:rsidR="00F52EC7" w:rsidRPr="00577AD2">
        <w:rPr>
          <w:rFonts w:ascii="Arial" w:hAnsi="Arial"/>
          <w:sz w:val="22"/>
        </w:rPr>
        <w:t xml:space="preserve">Despite the inapplicability of its research regulations </w:t>
      </w:r>
      <w:r w:rsidR="00E3598F" w:rsidRPr="00577AD2">
        <w:rPr>
          <w:rFonts w:ascii="Arial" w:hAnsi="Arial"/>
          <w:sz w:val="22"/>
        </w:rPr>
        <w:t>to certain classes of mobile health research, the FDA still has an</w:t>
      </w:r>
      <w:r w:rsidR="0094479A">
        <w:rPr>
          <w:rFonts w:ascii="Arial" w:hAnsi="Arial"/>
          <w:sz w:val="22"/>
        </w:rPr>
        <w:t xml:space="preserve"> important role in </w:t>
      </w:r>
      <w:r w:rsidR="00E3598F" w:rsidRPr="00577AD2">
        <w:rPr>
          <w:rFonts w:ascii="Arial" w:hAnsi="Arial"/>
          <w:sz w:val="22"/>
        </w:rPr>
        <w:t>research</w:t>
      </w:r>
      <w:r w:rsidR="0094479A">
        <w:rPr>
          <w:rFonts w:ascii="Arial" w:hAnsi="Arial"/>
          <w:sz w:val="22"/>
        </w:rPr>
        <w:t xml:space="preserve"> with mobile devices</w:t>
      </w:r>
      <w:r w:rsidR="00E3598F" w:rsidRPr="00577AD2">
        <w:rPr>
          <w:rFonts w:ascii="Arial" w:hAnsi="Arial"/>
          <w:sz w:val="22"/>
        </w:rPr>
        <w:t>. The FDA has announced that it will regulate "mobile medical applications" by applying the same "risk-based approach" it uses to "assure the safety and effectiveness for all medical devices."</w:t>
      </w:r>
      <w:r w:rsidR="00E3598F" w:rsidRPr="00577AD2">
        <w:rPr>
          <w:rStyle w:val="EndnoteReference"/>
          <w:rFonts w:ascii="Arial" w:hAnsi="Arial"/>
          <w:sz w:val="22"/>
        </w:rPr>
        <w:endnoteReference w:id="21"/>
      </w:r>
      <w:r w:rsidR="00E3598F" w:rsidRPr="00577AD2">
        <w:rPr>
          <w:rFonts w:ascii="Arial" w:hAnsi="Arial"/>
          <w:sz w:val="22"/>
        </w:rPr>
        <w:t xml:space="preserve"> The FDA plans to regulate apps intended to be used as an accessory to a regulated medical device or that transform a mobile platform into a regulated medical device."</w:t>
      </w:r>
      <w:r w:rsidR="00E3598F" w:rsidRPr="00577AD2">
        <w:rPr>
          <w:rStyle w:val="EndnoteReference"/>
          <w:rFonts w:ascii="Arial" w:hAnsi="Arial"/>
          <w:sz w:val="22"/>
        </w:rPr>
        <w:endnoteReference w:id="22"/>
      </w:r>
      <w:r w:rsidR="00F52EC7" w:rsidRPr="00577AD2">
        <w:rPr>
          <w:rFonts w:ascii="Arial" w:hAnsi="Arial"/>
          <w:i/>
          <w:sz w:val="22"/>
        </w:rPr>
        <w:t xml:space="preserve"> </w:t>
      </w:r>
      <w:r w:rsidR="00E3598F" w:rsidRPr="00577AD2">
        <w:rPr>
          <w:rFonts w:ascii="Arial" w:hAnsi="Arial"/>
          <w:sz w:val="22"/>
        </w:rPr>
        <w:t>The FDA will not regulate apps that provide patient</w:t>
      </w:r>
      <w:r w:rsidR="00FA4AF3" w:rsidRPr="00577AD2">
        <w:rPr>
          <w:rFonts w:ascii="Arial" w:hAnsi="Arial"/>
          <w:sz w:val="22"/>
        </w:rPr>
        <w:t>s</w:t>
      </w:r>
      <w:r w:rsidR="00E3598F" w:rsidRPr="00577AD2">
        <w:rPr>
          <w:rFonts w:ascii="Arial" w:hAnsi="Arial"/>
          <w:sz w:val="22"/>
        </w:rPr>
        <w:t xml:space="preserve"> with simple tools to organize and track their health information, give patients easy access to </w:t>
      </w:r>
      <w:r w:rsidR="00E3598F" w:rsidRPr="00577AD2">
        <w:rPr>
          <w:rFonts w:ascii="Arial" w:hAnsi="Arial"/>
          <w:sz w:val="22"/>
        </w:rPr>
        <w:lastRenderedPageBreak/>
        <w:t>information related to health conditions or treatments, or help patients communicate with the</w:t>
      </w:r>
      <w:r w:rsidR="00FA4AF3" w:rsidRPr="00577AD2">
        <w:rPr>
          <w:rFonts w:ascii="Arial" w:hAnsi="Arial"/>
          <w:sz w:val="22"/>
        </w:rPr>
        <w:t>ir</w:t>
      </w:r>
      <w:r w:rsidR="00E3598F" w:rsidRPr="00577AD2">
        <w:rPr>
          <w:rFonts w:ascii="Arial" w:hAnsi="Arial"/>
          <w:sz w:val="22"/>
        </w:rPr>
        <w:t xml:space="preserve"> health care providers.</w:t>
      </w:r>
      <w:r w:rsidR="00E3598F" w:rsidRPr="00577AD2">
        <w:rPr>
          <w:rStyle w:val="EndnoteReference"/>
          <w:rFonts w:ascii="Arial" w:hAnsi="Arial"/>
          <w:sz w:val="22"/>
        </w:rPr>
        <w:endnoteReference w:id="23"/>
      </w:r>
      <w:r w:rsidR="00E3598F" w:rsidRPr="00577AD2">
        <w:rPr>
          <w:rFonts w:ascii="Arial" w:hAnsi="Arial"/>
          <w:sz w:val="22"/>
        </w:rPr>
        <w:t xml:space="preserve"> Also excluded from coverage are apps that allow a user to collect and track heart rate, weight, and similar </w:t>
      </w:r>
      <w:r w:rsidR="00FA4AF3" w:rsidRPr="00577AD2">
        <w:rPr>
          <w:rFonts w:ascii="Arial" w:hAnsi="Arial"/>
          <w:sz w:val="22"/>
        </w:rPr>
        <w:t xml:space="preserve">biometric </w:t>
      </w:r>
      <w:r w:rsidR="00E3598F" w:rsidRPr="00577AD2">
        <w:rPr>
          <w:rFonts w:ascii="Arial" w:hAnsi="Arial"/>
          <w:sz w:val="22"/>
        </w:rPr>
        <w:t>information.</w:t>
      </w:r>
      <w:r w:rsidR="00E3598F" w:rsidRPr="00577AD2">
        <w:rPr>
          <w:rStyle w:val="EndnoteReference"/>
          <w:rFonts w:ascii="Arial" w:hAnsi="Arial"/>
          <w:sz w:val="22"/>
        </w:rPr>
        <w:endnoteReference w:id="24"/>
      </w:r>
    </w:p>
    <w:p w:rsidR="00D070A4" w:rsidRPr="005A23CA" w:rsidRDefault="00D070A4" w:rsidP="00423BA8">
      <w:pPr>
        <w:spacing w:after="120" w:line="240" w:lineRule="exact"/>
        <w:jc w:val="both"/>
        <w:rPr>
          <w:rFonts w:ascii="Arial" w:hAnsi="Arial"/>
          <w:sz w:val="22"/>
        </w:rPr>
      </w:pPr>
      <w:r>
        <w:rPr>
          <w:rFonts w:ascii="Arial" w:hAnsi="Arial"/>
          <w:sz w:val="22"/>
        </w:rPr>
        <w:t>There is a clear need to regulate mobile health apps because many app developers "do not have medical training and often do not involve medical experts in the design process."</w:t>
      </w:r>
      <w:r>
        <w:rPr>
          <w:rStyle w:val="EndnoteReference"/>
          <w:rFonts w:ascii="Arial" w:hAnsi="Arial"/>
          <w:sz w:val="22"/>
        </w:rPr>
        <w:endnoteReference w:id="25"/>
      </w:r>
      <w:r>
        <w:rPr>
          <w:rFonts w:ascii="Arial" w:hAnsi="Arial"/>
          <w:sz w:val="22"/>
        </w:rPr>
        <w:t xml:space="preserve"> The result is a risk to patient safety, which could also extend to research participants</w:t>
      </w:r>
      <w:r w:rsidR="00C348F4">
        <w:rPr>
          <w:rFonts w:ascii="Arial" w:hAnsi="Arial"/>
          <w:sz w:val="22"/>
        </w:rPr>
        <w:t xml:space="preserve"> if the apps are used for research</w:t>
      </w:r>
      <w:r>
        <w:rPr>
          <w:rFonts w:ascii="Arial" w:hAnsi="Arial"/>
          <w:sz w:val="22"/>
        </w:rPr>
        <w:t>. For example, in a study of 46 smartphone apps for calculating insulin dose based on planned carbohydrate intake, 67% of the apps provided inappropriate dose recommendations.</w:t>
      </w:r>
      <w:r>
        <w:rPr>
          <w:rStyle w:val="EndnoteReference"/>
          <w:rFonts w:ascii="Arial" w:hAnsi="Arial"/>
          <w:sz w:val="22"/>
        </w:rPr>
        <w:endnoteReference w:id="26"/>
      </w:r>
      <w:r>
        <w:rPr>
          <w:rFonts w:ascii="Arial" w:hAnsi="Arial"/>
          <w:sz w:val="22"/>
        </w:rPr>
        <w:t xml:space="preserve"> Another analysis</w:t>
      </w:r>
      <w:r w:rsidRPr="006C4446">
        <w:rPr>
          <w:rFonts w:ascii="Arial" w:hAnsi="Arial"/>
          <w:sz w:val="22"/>
        </w:rPr>
        <w:t xml:space="preserve"> of 77 cancer apps available in the Apple App Store found that only 55.8% of the apps dispensed clinically validated data.</w:t>
      </w:r>
      <w:r>
        <w:rPr>
          <w:rStyle w:val="EndnoteReference"/>
          <w:rFonts w:ascii="Arial" w:hAnsi="Arial"/>
          <w:sz w:val="22"/>
        </w:rPr>
        <w:endnoteReference w:id="27"/>
      </w:r>
      <w:r w:rsidRPr="006C4446">
        <w:rPr>
          <w:rFonts w:ascii="Arial" w:hAnsi="Arial"/>
          <w:sz w:val="22"/>
        </w:rPr>
        <w:t xml:space="preserve">  </w:t>
      </w:r>
    </w:p>
    <w:p w:rsidR="005A23CA" w:rsidRDefault="00685E47" w:rsidP="00423BA8">
      <w:pPr>
        <w:spacing w:after="120" w:line="240" w:lineRule="exact"/>
        <w:jc w:val="both"/>
        <w:rPr>
          <w:rFonts w:ascii="Arial" w:hAnsi="Arial"/>
          <w:sz w:val="22"/>
        </w:rPr>
      </w:pPr>
      <w:r w:rsidRPr="00685E47">
        <w:rPr>
          <w:rFonts w:ascii="Arial" w:hAnsi="Arial"/>
          <w:sz w:val="22"/>
        </w:rPr>
        <w:t xml:space="preserve">4. </w:t>
      </w:r>
      <w:r w:rsidR="005A23CA">
        <w:rPr>
          <w:rFonts w:ascii="Arial" w:hAnsi="Arial"/>
          <w:i/>
          <w:sz w:val="22"/>
          <w:u w:val="single"/>
        </w:rPr>
        <w:t xml:space="preserve">FTC regulation of </w:t>
      </w:r>
      <w:r w:rsidR="00882BD1">
        <w:rPr>
          <w:rFonts w:ascii="Arial" w:hAnsi="Arial"/>
          <w:i/>
          <w:sz w:val="22"/>
          <w:u w:val="single"/>
        </w:rPr>
        <w:t xml:space="preserve">mobile </w:t>
      </w:r>
      <w:r w:rsidR="002E48E5">
        <w:rPr>
          <w:rFonts w:ascii="Arial" w:hAnsi="Arial"/>
          <w:i/>
          <w:sz w:val="22"/>
          <w:u w:val="single"/>
        </w:rPr>
        <w:t>health (mHealth)</w:t>
      </w:r>
      <w:r w:rsidR="005A23CA">
        <w:rPr>
          <w:rFonts w:ascii="Arial" w:hAnsi="Arial"/>
          <w:i/>
          <w:sz w:val="22"/>
          <w:u w:val="single"/>
        </w:rPr>
        <w:t xml:space="preserve"> applications.</w:t>
      </w:r>
      <w:r w:rsidR="0098037F">
        <w:rPr>
          <w:rFonts w:ascii="Arial" w:hAnsi="Arial"/>
          <w:sz w:val="22"/>
        </w:rPr>
        <w:t xml:space="preserve"> The Federal Trade Commission (FTC) enforces the FTC Act, which prohibits deceptive or unfair acts or practices in or affecting commerce, including those related to privacy and data security, and those involving false or misleading claims about the safety or performance of an app. The FTC also has issued the Health Breach Notification Rule, which requires certain businesses to notify the public following breaches of personal health information. The FTC, along with the FDA, the Office of the National Coordinator for H</w:t>
      </w:r>
      <w:r w:rsidR="0094479A">
        <w:rPr>
          <w:rFonts w:ascii="Arial" w:hAnsi="Arial"/>
          <w:sz w:val="22"/>
        </w:rPr>
        <w:t xml:space="preserve">ealth </w:t>
      </w:r>
      <w:r w:rsidR="0098037F">
        <w:rPr>
          <w:rFonts w:ascii="Arial" w:hAnsi="Arial"/>
          <w:sz w:val="22"/>
        </w:rPr>
        <w:t>I</w:t>
      </w:r>
      <w:r w:rsidR="0094479A">
        <w:rPr>
          <w:rFonts w:ascii="Arial" w:hAnsi="Arial"/>
          <w:sz w:val="22"/>
        </w:rPr>
        <w:t xml:space="preserve">nformation </w:t>
      </w:r>
      <w:r w:rsidR="0098037F">
        <w:rPr>
          <w:rFonts w:ascii="Arial" w:hAnsi="Arial"/>
          <w:sz w:val="22"/>
        </w:rPr>
        <w:t>T</w:t>
      </w:r>
      <w:r w:rsidR="0094479A">
        <w:rPr>
          <w:rFonts w:ascii="Arial" w:hAnsi="Arial"/>
          <w:sz w:val="22"/>
        </w:rPr>
        <w:t>echnology</w:t>
      </w:r>
      <w:r w:rsidR="0098037F">
        <w:rPr>
          <w:rFonts w:ascii="Arial" w:hAnsi="Arial"/>
          <w:sz w:val="22"/>
        </w:rPr>
        <w:t>, and the Office for Civil Right</w:t>
      </w:r>
      <w:r w:rsidR="005864B0">
        <w:rPr>
          <w:rFonts w:ascii="Arial" w:hAnsi="Arial"/>
          <w:sz w:val="22"/>
        </w:rPr>
        <w:t>s</w:t>
      </w:r>
      <w:r w:rsidR="0098037F">
        <w:rPr>
          <w:rFonts w:ascii="Arial" w:hAnsi="Arial"/>
          <w:sz w:val="22"/>
        </w:rPr>
        <w:t xml:space="preserve"> of </w:t>
      </w:r>
      <w:r w:rsidR="00D245D8">
        <w:rPr>
          <w:rFonts w:ascii="Arial" w:hAnsi="Arial"/>
          <w:sz w:val="22"/>
        </w:rPr>
        <w:t xml:space="preserve">the </w:t>
      </w:r>
      <w:r w:rsidR="0094479A">
        <w:rPr>
          <w:rFonts w:ascii="Arial" w:hAnsi="Arial"/>
          <w:sz w:val="22"/>
        </w:rPr>
        <w:t xml:space="preserve">Department of </w:t>
      </w:r>
      <w:r w:rsidR="0098037F">
        <w:rPr>
          <w:rFonts w:ascii="Arial" w:hAnsi="Arial"/>
          <w:sz w:val="22"/>
        </w:rPr>
        <w:t>H</w:t>
      </w:r>
      <w:r w:rsidR="0094479A">
        <w:rPr>
          <w:rFonts w:ascii="Arial" w:hAnsi="Arial"/>
          <w:sz w:val="22"/>
        </w:rPr>
        <w:t xml:space="preserve">ealth and </w:t>
      </w:r>
      <w:r w:rsidR="0098037F">
        <w:rPr>
          <w:rFonts w:ascii="Arial" w:hAnsi="Arial"/>
          <w:sz w:val="22"/>
        </w:rPr>
        <w:t>H</w:t>
      </w:r>
      <w:r w:rsidR="0094479A">
        <w:rPr>
          <w:rFonts w:ascii="Arial" w:hAnsi="Arial"/>
          <w:sz w:val="22"/>
        </w:rPr>
        <w:t xml:space="preserve">uman </w:t>
      </w:r>
      <w:r w:rsidR="0098037F">
        <w:rPr>
          <w:rFonts w:ascii="Arial" w:hAnsi="Arial"/>
          <w:sz w:val="22"/>
        </w:rPr>
        <w:t>S</w:t>
      </w:r>
      <w:r w:rsidR="0094479A">
        <w:rPr>
          <w:rFonts w:ascii="Arial" w:hAnsi="Arial"/>
          <w:sz w:val="22"/>
        </w:rPr>
        <w:t>ervices (HHS)</w:t>
      </w:r>
      <w:r w:rsidR="0098037F">
        <w:rPr>
          <w:rFonts w:ascii="Arial" w:hAnsi="Arial"/>
          <w:sz w:val="22"/>
        </w:rPr>
        <w:t>, has issued a joint interactive tool to provide guidance for the regulations applicable to mobile health apps.</w:t>
      </w:r>
      <w:r w:rsidR="0098037F">
        <w:rPr>
          <w:rStyle w:val="EndnoteReference"/>
          <w:rFonts w:ascii="Arial" w:hAnsi="Arial"/>
          <w:sz w:val="22"/>
        </w:rPr>
        <w:endnoteReference w:id="28"/>
      </w:r>
      <w:r w:rsidR="0098037F">
        <w:rPr>
          <w:rFonts w:ascii="Arial" w:hAnsi="Arial"/>
          <w:sz w:val="22"/>
        </w:rPr>
        <w:t xml:space="preserve"> </w:t>
      </w:r>
    </w:p>
    <w:p w:rsidR="006B3B22" w:rsidRDefault="00685E47" w:rsidP="00423BA8">
      <w:pPr>
        <w:spacing w:after="120" w:line="240" w:lineRule="exact"/>
        <w:jc w:val="both"/>
        <w:rPr>
          <w:rFonts w:ascii="Arial" w:hAnsi="Arial"/>
          <w:sz w:val="22"/>
        </w:rPr>
      </w:pPr>
      <w:r w:rsidRPr="00685E47">
        <w:rPr>
          <w:rFonts w:ascii="Arial" w:hAnsi="Arial"/>
          <w:sz w:val="22"/>
        </w:rPr>
        <w:t xml:space="preserve">5. </w:t>
      </w:r>
      <w:r w:rsidR="00E3598F" w:rsidRPr="00CF702B">
        <w:rPr>
          <w:rFonts w:ascii="Arial" w:hAnsi="Arial"/>
          <w:i/>
          <w:sz w:val="22"/>
          <w:u w:val="single"/>
        </w:rPr>
        <w:t>HIPAA Privacy Rule</w:t>
      </w:r>
      <w:r>
        <w:rPr>
          <w:rFonts w:ascii="Arial" w:hAnsi="Arial"/>
          <w:i/>
          <w:sz w:val="22"/>
          <w:u w:val="single"/>
        </w:rPr>
        <w:t xml:space="preserve"> and research</w:t>
      </w:r>
      <w:r w:rsidR="00E3598F" w:rsidRPr="00577AD2">
        <w:rPr>
          <w:rFonts w:ascii="Arial" w:hAnsi="Arial"/>
          <w:i/>
          <w:sz w:val="22"/>
        </w:rPr>
        <w:t xml:space="preserve">. </w:t>
      </w:r>
      <w:r w:rsidR="00E3598F" w:rsidRPr="00577AD2">
        <w:rPr>
          <w:rFonts w:ascii="Arial" w:hAnsi="Arial"/>
          <w:sz w:val="22"/>
        </w:rPr>
        <w:t xml:space="preserve">The main </w:t>
      </w:r>
      <w:r w:rsidR="00CF702B">
        <w:rPr>
          <w:rFonts w:ascii="Arial" w:hAnsi="Arial"/>
          <w:sz w:val="22"/>
        </w:rPr>
        <w:t xml:space="preserve">regulatory </w:t>
      </w:r>
      <w:r w:rsidR="00D147AC">
        <w:rPr>
          <w:rFonts w:ascii="Arial" w:hAnsi="Arial"/>
          <w:sz w:val="22"/>
        </w:rPr>
        <w:t>basis</w:t>
      </w:r>
      <w:r w:rsidR="00E3598F" w:rsidRPr="00577AD2">
        <w:rPr>
          <w:rFonts w:ascii="Arial" w:hAnsi="Arial"/>
          <w:sz w:val="22"/>
        </w:rPr>
        <w:t xml:space="preserve"> for protecting the privacy of participants in health research is the </w:t>
      </w:r>
      <w:r w:rsidR="00B17D30" w:rsidRPr="00577AD2">
        <w:rPr>
          <w:rFonts w:ascii="Arial" w:hAnsi="Arial"/>
          <w:sz w:val="22"/>
        </w:rPr>
        <w:t>HIPAA Privacy Rule,</w:t>
      </w:r>
      <w:r w:rsidR="00E3598F" w:rsidRPr="00577AD2">
        <w:rPr>
          <w:rStyle w:val="EndnoteReference"/>
          <w:rFonts w:ascii="Arial" w:hAnsi="Arial"/>
          <w:sz w:val="22"/>
        </w:rPr>
        <w:endnoteReference w:id="29"/>
      </w:r>
      <w:r w:rsidR="00E3598F" w:rsidRPr="00577AD2">
        <w:rPr>
          <w:rFonts w:ascii="Arial" w:hAnsi="Arial"/>
          <w:sz w:val="22"/>
        </w:rPr>
        <w:t xml:space="preserve"> </w:t>
      </w:r>
      <w:r w:rsidR="00B17D30" w:rsidRPr="00577AD2">
        <w:rPr>
          <w:rFonts w:ascii="Arial" w:hAnsi="Arial"/>
          <w:sz w:val="22"/>
        </w:rPr>
        <w:t>which applies to three classes of covered entities (health providers, health plans, and health clearinghouses) and their business associates (an individual or entity that assists covered entities with functions such as claims processing, utilization review, quality assurance, legal services, management, and financial services).</w:t>
      </w:r>
      <w:r w:rsidR="00B17D30" w:rsidRPr="00577AD2">
        <w:rPr>
          <w:rStyle w:val="EndnoteReference"/>
          <w:rFonts w:ascii="Arial" w:hAnsi="Arial"/>
          <w:sz w:val="22"/>
        </w:rPr>
        <w:endnoteReference w:id="30"/>
      </w:r>
      <w:r w:rsidR="0094479A">
        <w:rPr>
          <w:rFonts w:ascii="Arial" w:hAnsi="Arial"/>
          <w:sz w:val="22"/>
        </w:rPr>
        <w:t xml:space="preserve"> </w:t>
      </w:r>
      <w:r w:rsidR="00D245D8">
        <w:rPr>
          <w:rFonts w:ascii="Arial" w:hAnsi="Arial"/>
          <w:sz w:val="22"/>
        </w:rPr>
        <w:t>R</w:t>
      </w:r>
      <w:r w:rsidR="0094479A" w:rsidRPr="0094479A">
        <w:rPr>
          <w:rFonts w:ascii="Arial" w:hAnsi="Arial"/>
          <w:sz w:val="22"/>
        </w:rPr>
        <w:t xml:space="preserve">esearch undertaken by a HIPAA covered entity, such as an academic medical center, is subject to the Privacy Rule. </w:t>
      </w:r>
      <w:r w:rsidR="00D245D8">
        <w:rPr>
          <w:rFonts w:ascii="Arial" w:hAnsi="Arial"/>
          <w:sz w:val="22"/>
        </w:rPr>
        <w:t>I</w:t>
      </w:r>
      <w:r w:rsidR="0094479A" w:rsidRPr="0094479A">
        <w:rPr>
          <w:rFonts w:ascii="Arial" w:hAnsi="Arial"/>
          <w:sz w:val="22"/>
        </w:rPr>
        <w:t>ntramural research undertaken by a pharmaceutical company</w:t>
      </w:r>
      <w:r w:rsidR="00D245D8">
        <w:rPr>
          <w:rFonts w:ascii="Arial" w:hAnsi="Arial"/>
          <w:sz w:val="22"/>
        </w:rPr>
        <w:t>, however,</w:t>
      </w:r>
      <w:r w:rsidR="0094479A" w:rsidRPr="0094479A">
        <w:rPr>
          <w:rFonts w:ascii="Arial" w:hAnsi="Arial"/>
          <w:sz w:val="22"/>
        </w:rPr>
        <w:t xml:space="preserve"> would not be subject to the Privacy Rule. </w:t>
      </w:r>
      <w:r w:rsidR="00B17D30" w:rsidRPr="00577AD2">
        <w:rPr>
          <w:rFonts w:ascii="Arial" w:hAnsi="Arial"/>
          <w:sz w:val="22"/>
        </w:rPr>
        <w:t>The Privacy Rule requires that any research uses and disclosures of individually identifiable health information must have a written authorization signed by the individual.</w:t>
      </w:r>
      <w:r w:rsidR="00B17D30" w:rsidRPr="00577AD2">
        <w:rPr>
          <w:rStyle w:val="EndnoteReference"/>
          <w:rFonts w:ascii="Arial" w:hAnsi="Arial"/>
          <w:sz w:val="22"/>
        </w:rPr>
        <w:endnoteReference w:id="31"/>
      </w:r>
      <w:r w:rsidR="00B17D30" w:rsidRPr="00577AD2">
        <w:rPr>
          <w:rFonts w:ascii="Arial" w:hAnsi="Arial"/>
          <w:sz w:val="22"/>
        </w:rPr>
        <w:t xml:space="preserve"> </w:t>
      </w:r>
      <w:r w:rsidR="006B3B22">
        <w:rPr>
          <w:rFonts w:ascii="Arial" w:hAnsi="Arial"/>
          <w:sz w:val="22"/>
        </w:rPr>
        <w:t>There have been increased efforts at the Congressional and regulatory levels to relieve the perceived burden on researchers created by the Privacy Rule, and mHealth research adds another dimension to the ongoing policy debate</w:t>
      </w:r>
      <w:r w:rsidR="0005253D">
        <w:rPr>
          <w:rFonts w:ascii="Arial" w:hAnsi="Arial"/>
          <w:sz w:val="22"/>
        </w:rPr>
        <w:t xml:space="preserve"> about the conflict between individual privacy interests and the public good of open access to health information</w:t>
      </w:r>
      <w:r w:rsidR="006B3B22">
        <w:rPr>
          <w:rFonts w:ascii="Arial" w:hAnsi="Arial"/>
          <w:sz w:val="22"/>
        </w:rPr>
        <w:t>.</w:t>
      </w:r>
    </w:p>
    <w:p w:rsidR="005E12B1" w:rsidRDefault="007F645E" w:rsidP="00423BA8">
      <w:pPr>
        <w:spacing w:after="120" w:line="240" w:lineRule="exact"/>
        <w:jc w:val="both"/>
        <w:rPr>
          <w:rFonts w:ascii="Arial" w:hAnsi="Arial"/>
          <w:sz w:val="22"/>
        </w:rPr>
      </w:pPr>
      <w:r w:rsidRPr="00577AD2">
        <w:rPr>
          <w:rFonts w:ascii="Arial" w:hAnsi="Arial"/>
          <w:b/>
          <w:sz w:val="22"/>
        </w:rPr>
        <w:t>Traditional elements of research ethics.</w:t>
      </w:r>
      <w:r w:rsidR="00162262">
        <w:rPr>
          <w:rFonts w:ascii="Arial" w:hAnsi="Arial"/>
          <w:sz w:val="22"/>
        </w:rPr>
        <w:t xml:space="preserve"> </w:t>
      </w:r>
      <w:r w:rsidR="005E12B1" w:rsidRPr="00577AD2">
        <w:rPr>
          <w:rFonts w:ascii="Arial" w:hAnsi="Arial"/>
          <w:sz w:val="22"/>
        </w:rPr>
        <w:t xml:space="preserve">In the absence of federal regulatory coverage for certain health research using mobile devices, the key </w:t>
      </w:r>
      <w:r w:rsidR="00443014">
        <w:rPr>
          <w:rFonts w:ascii="Arial" w:hAnsi="Arial"/>
          <w:sz w:val="22"/>
        </w:rPr>
        <w:t>question</w:t>
      </w:r>
      <w:r w:rsidR="005E12B1" w:rsidRPr="00577AD2">
        <w:rPr>
          <w:rFonts w:ascii="Arial" w:hAnsi="Arial"/>
          <w:sz w:val="22"/>
        </w:rPr>
        <w:t xml:space="preserve"> is what, if any, type of regulation is necessary or desirable to safeguard the welfare of research </w:t>
      </w:r>
      <w:r w:rsidR="005E12B1" w:rsidRPr="00685E47">
        <w:rPr>
          <w:rFonts w:ascii="Arial" w:hAnsi="Arial"/>
          <w:sz w:val="22"/>
        </w:rPr>
        <w:t>participants.</w:t>
      </w:r>
      <w:r w:rsidR="00162262" w:rsidRPr="00685E47">
        <w:rPr>
          <w:rFonts w:ascii="Arial" w:hAnsi="Arial"/>
          <w:sz w:val="22"/>
        </w:rPr>
        <w:t xml:space="preserve"> </w:t>
      </w:r>
      <w:r w:rsidR="00443014" w:rsidRPr="00685E47">
        <w:rPr>
          <w:rFonts w:ascii="Arial" w:hAnsi="Arial"/>
          <w:sz w:val="22"/>
        </w:rPr>
        <w:t xml:space="preserve">In extending some level of </w:t>
      </w:r>
      <w:r w:rsidR="001C44CC" w:rsidRPr="00685E47">
        <w:rPr>
          <w:rFonts w:ascii="Arial" w:hAnsi="Arial"/>
          <w:sz w:val="22"/>
        </w:rPr>
        <w:t xml:space="preserve">research ethics guidance </w:t>
      </w:r>
      <w:r w:rsidR="00443014" w:rsidRPr="00685E47">
        <w:rPr>
          <w:rFonts w:ascii="Arial" w:hAnsi="Arial"/>
          <w:sz w:val="22"/>
        </w:rPr>
        <w:t xml:space="preserve">to previously unregulated </w:t>
      </w:r>
      <w:r w:rsidR="00F93B0F" w:rsidRPr="00685E47">
        <w:rPr>
          <w:rFonts w:ascii="Arial" w:hAnsi="Arial"/>
          <w:sz w:val="22"/>
        </w:rPr>
        <w:t>mH</w:t>
      </w:r>
      <w:r w:rsidR="000B3DFA" w:rsidRPr="00685E47">
        <w:rPr>
          <w:rFonts w:ascii="Arial" w:hAnsi="Arial"/>
          <w:sz w:val="22"/>
        </w:rPr>
        <w:t xml:space="preserve">ealth </w:t>
      </w:r>
      <w:r w:rsidR="00F93B0F" w:rsidRPr="00685E47">
        <w:rPr>
          <w:rFonts w:ascii="Arial" w:hAnsi="Arial"/>
          <w:sz w:val="22"/>
        </w:rPr>
        <w:t xml:space="preserve">research </w:t>
      </w:r>
      <w:r w:rsidR="000B3DFA" w:rsidRPr="00685E47">
        <w:rPr>
          <w:rFonts w:ascii="Arial" w:hAnsi="Arial"/>
          <w:sz w:val="22"/>
        </w:rPr>
        <w:t xml:space="preserve">it </w:t>
      </w:r>
      <w:r w:rsidR="00526453" w:rsidRPr="00685E47">
        <w:rPr>
          <w:rFonts w:ascii="Arial" w:hAnsi="Arial"/>
          <w:sz w:val="22"/>
        </w:rPr>
        <w:t xml:space="preserve">may </w:t>
      </w:r>
      <w:r w:rsidR="000B3DFA" w:rsidRPr="00685E47">
        <w:rPr>
          <w:rFonts w:ascii="Arial" w:hAnsi="Arial"/>
          <w:sz w:val="22"/>
        </w:rPr>
        <w:t xml:space="preserve">be necessary to develop </w:t>
      </w:r>
      <w:r w:rsidR="00526453" w:rsidRPr="00685E47">
        <w:rPr>
          <w:rFonts w:ascii="Arial" w:hAnsi="Arial"/>
          <w:sz w:val="22"/>
        </w:rPr>
        <w:t xml:space="preserve">an entirely new paradigm for research ethics. </w:t>
      </w:r>
      <w:r w:rsidR="000B3DFA" w:rsidRPr="00685E47">
        <w:rPr>
          <w:rFonts w:ascii="Arial" w:hAnsi="Arial"/>
          <w:sz w:val="22"/>
        </w:rPr>
        <w:t xml:space="preserve">In other words, the traditional bimodal </w:t>
      </w:r>
      <w:r w:rsidR="0005253D">
        <w:rPr>
          <w:rFonts w:ascii="Arial" w:hAnsi="Arial"/>
          <w:sz w:val="22"/>
        </w:rPr>
        <w:t>structure</w:t>
      </w:r>
      <w:r w:rsidR="000B3DFA" w:rsidRPr="00685E47">
        <w:rPr>
          <w:rFonts w:ascii="Arial" w:hAnsi="Arial"/>
          <w:sz w:val="22"/>
        </w:rPr>
        <w:t xml:space="preserve"> of research</w:t>
      </w:r>
      <w:r w:rsidR="000B3DFA">
        <w:rPr>
          <w:rFonts w:ascii="Arial" w:hAnsi="Arial"/>
          <w:sz w:val="22"/>
        </w:rPr>
        <w:t xml:space="preserve"> regulation (i.e., extensive regulation vs. no regulation) may be disrupted by new technologies creating hybrid categories of informational and even interventional research. The regulatory treatment of health research with mobile devices is likely to </w:t>
      </w:r>
      <w:r w:rsidR="00927595">
        <w:rPr>
          <w:rFonts w:ascii="Arial" w:hAnsi="Arial"/>
          <w:sz w:val="22"/>
        </w:rPr>
        <w:t>force</w:t>
      </w:r>
      <w:r w:rsidR="000B3DFA">
        <w:rPr>
          <w:rFonts w:ascii="Arial" w:hAnsi="Arial"/>
          <w:sz w:val="22"/>
        </w:rPr>
        <w:t xml:space="preserve"> this reconceptualization. </w:t>
      </w:r>
      <w:r w:rsidR="00162262" w:rsidRPr="00162262">
        <w:rPr>
          <w:rFonts w:ascii="Arial" w:hAnsi="Arial"/>
          <w:sz w:val="22"/>
        </w:rPr>
        <w:t xml:space="preserve">The first </w:t>
      </w:r>
      <w:r w:rsidR="00C37B00">
        <w:rPr>
          <w:rFonts w:ascii="Arial" w:hAnsi="Arial"/>
          <w:sz w:val="22"/>
        </w:rPr>
        <w:t xml:space="preserve">attempt to </w:t>
      </w:r>
      <w:r w:rsidR="000B3DFA">
        <w:rPr>
          <w:rFonts w:ascii="Arial" w:hAnsi="Arial"/>
          <w:sz w:val="22"/>
        </w:rPr>
        <w:t>explore</w:t>
      </w:r>
      <w:r w:rsidR="00C37B00">
        <w:rPr>
          <w:rFonts w:ascii="Arial" w:hAnsi="Arial"/>
          <w:sz w:val="22"/>
        </w:rPr>
        <w:t xml:space="preserve"> these </w:t>
      </w:r>
      <w:r w:rsidR="00162262">
        <w:rPr>
          <w:rFonts w:ascii="Arial" w:hAnsi="Arial"/>
          <w:sz w:val="22"/>
        </w:rPr>
        <w:t>issue</w:t>
      </w:r>
      <w:r w:rsidR="000B3DFA">
        <w:rPr>
          <w:rFonts w:ascii="Arial" w:hAnsi="Arial"/>
          <w:sz w:val="22"/>
        </w:rPr>
        <w:t xml:space="preserve">s was </w:t>
      </w:r>
      <w:r w:rsidR="00162262" w:rsidRPr="00162262">
        <w:rPr>
          <w:rFonts w:ascii="Arial" w:hAnsi="Arial"/>
          <w:sz w:val="22"/>
        </w:rPr>
        <w:t>a</w:t>
      </w:r>
      <w:r w:rsidR="00D245D8">
        <w:rPr>
          <w:rFonts w:ascii="Arial" w:hAnsi="Arial"/>
          <w:sz w:val="22"/>
        </w:rPr>
        <w:t xml:space="preserve"> 2015</w:t>
      </w:r>
      <w:r w:rsidR="00162262" w:rsidRPr="00162262">
        <w:rPr>
          <w:rFonts w:ascii="Arial" w:hAnsi="Arial"/>
          <w:sz w:val="22"/>
        </w:rPr>
        <w:t xml:space="preserve"> article by Rothstein, Wilbanks, and Brothers,</w:t>
      </w:r>
      <w:r w:rsidR="00162262">
        <w:rPr>
          <w:rStyle w:val="EndnoteReference"/>
          <w:rFonts w:ascii="Arial" w:hAnsi="Arial"/>
          <w:sz w:val="22"/>
        </w:rPr>
        <w:endnoteReference w:id="32"/>
      </w:r>
      <w:r w:rsidR="00162262" w:rsidRPr="00162262">
        <w:rPr>
          <w:rFonts w:ascii="Arial" w:hAnsi="Arial"/>
          <w:sz w:val="22"/>
        </w:rPr>
        <w:t xml:space="preserve"> all of whom are key personnel on this grant application.  </w:t>
      </w:r>
      <w:r w:rsidR="005E12B1" w:rsidRPr="00577AD2">
        <w:rPr>
          <w:rFonts w:ascii="Arial" w:hAnsi="Arial"/>
          <w:sz w:val="22"/>
        </w:rPr>
        <w:t xml:space="preserve"> </w:t>
      </w:r>
    </w:p>
    <w:p w:rsidR="00F039DF" w:rsidRDefault="00685E47" w:rsidP="00EC1F9B">
      <w:pPr>
        <w:spacing w:after="60" w:line="220" w:lineRule="exact"/>
        <w:jc w:val="both"/>
        <w:rPr>
          <w:rFonts w:ascii="Arial" w:hAnsi="Arial"/>
          <w:sz w:val="22"/>
        </w:rPr>
      </w:pPr>
      <w:r w:rsidRPr="00685E47">
        <w:rPr>
          <w:rFonts w:ascii="Arial" w:hAnsi="Arial"/>
          <w:sz w:val="22"/>
        </w:rPr>
        <w:t xml:space="preserve">1. </w:t>
      </w:r>
      <w:r w:rsidR="005E12B1" w:rsidRPr="00537E91">
        <w:rPr>
          <w:rFonts w:ascii="Arial" w:hAnsi="Arial"/>
          <w:i/>
          <w:sz w:val="22"/>
          <w:u w:val="single"/>
        </w:rPr>
        <w:t>Oversight by IRBs</w:t>
      </w:r>
      <w:r w:rsidR="00882BD1">
        <w:rPr>
          <w:rFonts w:ascii="Arial" w:hAnsi="Arial"/>
          <w:i/>
          <w:sz w:val="22"/>
          <w:u w:val="single"/>
        </w:rPr>
        <w:t xml:space="preserve"> </w:t>
      </w:r>
      <w:r w:rsidR="00D245D8">
        <w:rPr>
          <w:rFonts w:ascii="Arial" w:hAnsi="Arial"/>
          <w:i/>
          <w:sz w:val="22"/>
          <w:u w:val="single"/>
        </w:rPr>
        <w:t>and</w:t>
      </w:r>
      <w:r w:rsidR="00882BD1">
        <w:rPr>
          <w:rFonts w:ascii="Arial" w:hAnsi="Arial"/>
          <w:i/>
          <w:sz w:val="22"/>
          <w:u w:val="single"/>
        </w:rPr>
        <w:t xml:space="preserve"> other types of research governance</w:t>
      </w:r>
      <w:r w:rsidR="00537E91">
        <w:rPr>
          <w:rFonts w:ascii="Arial" w:hAnsi="Arial"/>
          <w:sz w:val="22"/>
        </w:rPr>
        <w:t>.</w:t>
      </w:r>
      <w:r w:rsidR="005E12B1" w:rsidRPr="00577AD2">
        <w:rPr>
          <w:rFonts w:ascii="Arial" w:hAnsi="Arial"/>
          <w:i/>
          <w:sz w:val="22"/>
        </w:rPr>
        <w:t xml:space="preserve"> </w:t>
      </w:r>
      <w:r w:rsidR="005E12B1" w:rsidRPr="00577AD2">
        <w:rPr>
          <w:rFonts w:ascii="Arial" w:hAnsi="Arial"/>
          <w:sz w:val="22"/>
        </w:rPr>
        <w:t xml:space="preserve">The requirement for IRB review reflects a longstanding </w:t>
      </w:r>
      <w:r w:rsidR="002B4166">
        <w:rPr>
          <w:rFonts w:ascii="Arial" w:hAnsi="Arial"/>
          <w:sz w:val="22"/>
        </w:rPr>
        <w:t>principle</w:t>
      </w:r>
      <w:r w:rsidR="005E12B1" w:rsidRPr="00577AD2">
        <w:rPr>
          <w:rFonts w:ascii="Arial" w:hAnsi="Arial"/>
          <w:sz w:val="22"/>
        </w:rPr>
        <w:t xml:space="preserve"> that research should be subject to oversight by an independent ethics</w:t>
      </w:r>
      <w:r w:rsidR="00790BEE" w:rsidRPr="00577AD2">
        <w:rPr>
          <w:rFonts w:ascii="Arial" w:hAnsi="Arial"/>
          <w:sz w:val="22"/>
        </w:rPr>
        <w:t xml:space="preserve"> panel to protect the welfare of</w:t>
      </w:r>
      <w:r w:rsidR="005E12B1" w:rsidRPr="00577AD2">
        <w:rPr>
          <w:rFonts w:ascii="Arial" w:hAnsi="Arial"/>
          <w:sz w:val="22"/>
        </w:rPr>
        <w:t xml:space="preserve"> the participants.</w:t>
      </w:r>
      <w:r w:rsidR="005E12B1" w:rsidRPr="00577AD2">
        <w:rPr>
          <w:rStyle w:val="EndnoteReference"/>
          <w:rFonts w:ascii="Arial" w:hAnsi="Arial"/>
          <w:sz w:val="22"/>
        </w:rPr>
        <w:endnoteReference w:id="33"/>
      </w:r>
      <w:r w:rsidR="005E12B1" w:rsidRPr="00577AD2">
        <w:rPr>
          <w:rFonts w:ascii="Arial" w:hAnsi="Arial"/>
          <w:i/>
          <w:sz w:val="22"/>
        </w:rPr>
        <w:t xml:space="preserve"> </w:t>
      </w:r>
      <w:r w:rsidR="00537E91">
        <w:rPr>
          <w:rFonts w:ascii="Arial" w:hAnsi="Arial"/>
          <w:sz w:val="22"/>
        </w:rPr>
        <w:t>This, arguably</w:t>
      </w:r>
      <w:r w:rsidR="00790BEE" w:rsidRPr="00577AD2">
        <w:rPr>
          <w:rFonts w:ascii="Arial" w:hAnsi="Arial"/>
          <w:sz w:val="22"/>
        </w:rPr>
        <w:t xml:space="preserve"> paternalistic</w:t>
      </w:r>
      <w:r w:rsidR="0094479A">
        <w:rPr>
          <w:rFonts w:ascii="Arial" w:hAnsi="Arial"/>
          <w:sz w:val="22"/>
        </w:rPr>
        <w:t>,</w:t>
      </w:r>
      <w:r w:rsidR="00790BEE" w:rsidRPr="00577AD2">
        <w:rPr>
          <w:rFonts w:ascii="Arial" w:hAnsi="Arial"/>
          <w:sz w:val="22"/>
        </w:rPr>
        <w:t xml:space="preserve"> </w:t>
      </w:r>
      <w:r w:rsidR="00537E91">
        <w:rPr>
          <w:rFonts w:ascii="Arial" w:hAnsi="Arial"/>
          <w:sz w:val="22"/>
        </w:rPr>
        <w:t>approach ha</w:t>
      </w:r>
      <w:r w:rsidR="005E12B1" w:rsidRPr="00577AD2">
        <w:rPr>
          <w:rFonts w:ascii="Arial" w:hAnsi="Arial"/>
          <w:sz w:val="22"/>
        </w:rPr>
        <w:t>s</w:t>
      </w:r>
      <w:r w:rsidR="00537E91">
        <w:rPr>
          <w:rFonts w:ascii="Arial" w:hAnsi="Arial"/>
          <w:sz w:val="22"/>
        </w:rPr>
        <w:t xml:space="preserve"> been implicitly rejected</w:t>
      </w:r>
      <w:r w:rsidR="005E12B1" w:rsidRPr="00577AD2">
        <w:rPr>
          <w:rFonts w:ascii="Arial" w:hAnsi="Arial"/>
          <w:sz w:val="22"/>
        </w:rPr>
        <w:t xml:space="preserve"> by some new models of research</w:t>
      </w:r>
      <w:r w:rsidR="00790BEE" w:rsidRPr="00577AD2">
        <w:rPr>
          <w:rFonts w:ascii="Arial" w:hAnsi="Arial"/>
          <w:sz w:val="22"/>
        </w:rPr>
        <w:t>,</w:t>
      </w:r>
      <w:r w:rsidR="005E12B1" w:rsidRPr="00577AD2">
        <w:rPr>
          <w:rFonts w:ascii="Arial" w:hAnsi="Arial"/>
          <w:sz w:val="22"/>
        </w:rPr>
        <w:t xml:space="preserve"> such as </w:t>
      </w:r>
      <w:r w:rsidR="00C932D8">
        <w:rPr>
          <w:rFonts w:ascii="Arial" w:hAnsi="Arial"/>
          <w:sz w:val="22"/>
        </w:rPr>
        <w:t>patient-directed research</w:t>
      </w:r>
      <w:r w:rsidR="00537E91">
        <w:rPr>
          <w:rFonts w:ascii="Arial" w:hAnsi="Arial"/>
          <w:sz w:val="22"/>
        </w:rPr>
        <w:t>, which emphasize</w:t>
      </w:r>
      <w:r w:rsidR="005E12B1" w:rsidRPr="00577AD2">
        <w:rPr>
          <w:rFonts w:ascii="Arial" w:hAnsi="Arial"/>
          <w:sz w:val="22"/>
        </w:rPr>
        <w:t xml:space="preserve"> the ability of research participants to interact with investigators as equals in the research process. Thus, many citizen science investigators would be reluctant to submit to IRB oversight voluntarily because of concerns that it would be a barrier to efficient and </w:t>
      </w:r>
      <w:r w:rsidR="00D147AC">
        <w:rPr>
          <w:rFonts w:ascii="Arial" w:hAnsi="Arial"/>
          <w:sz w:val="22"/>
        </w:rPr>
        <w:t>nimble</w:t>
      </w:r>
      <w:r w:rsidR="005E12B1" w:rsidRPr="00577AD2">
        <w:rPr>
          <w:rFonts w:ascii="Arial" w:hAnsi="Arial"/>
          <w:sz w:val="22"/>
        </w:rPr>
        <w:t xml:space="preserve"> research. </w:t>
      </w:r>
      <w:r w:rsidR="00CE7F34">
        <w:rPr>
          <w:rFonts w:ascii="Arial" w:hAnsi="Arial"/>
          <w:sz w:val="22"/>
        </w:rPr>
        <w:t>Accordingly, in our Aim 1 interviews we will</w:t>
      </w:r>
      <w:r w:rsidR="00790BEE" w:rsidRPr="00577AD2">
        <w:rPr>
          <w:rFonts w:ascii="Arial" w:hAnsi="Arial"/>
          <w:sz w:val="22"/>
        </w:rPr>
        <w:t xml:space="preserve"> examine how citizen scientists</w:t>
      </w:r>
      <w:r w:rsidR="005E12B1" w:rsidRPr="00577AD2">
        <w:rPr>
          <w:rFonts w:ascii="Arial" w:hAnsi="Arial"/>
          <w:sz w:val="22"/>
        </w:rPr>
        <w:t xml:space="preserve"> and other researchers perceive the </w:t>
      </w:r>
      <w:r w:rsidR="0094479A">
        <w:rPr>
          <w:rFonts w:ascii="Arial" w:hAnsi="Arial"/>
          <w:sz w:val="22"/>
        </w:rPr>
        <w:t>burdens and benefits of</w:t>
      </w:r>
      <w:r w:rsidR="005864B0">
        <w:rPr>
          <w:rFonts w:ascii="Arial" w:hAnsi="Arial"/>
          <w:sz w:val="22"/>
        </w:rPr>
        <w:t xml:space="preserve"> </w:t>
      </w:r>
      <w:r w:rsidR="00CE7F34">
        <w:rPr>
          <w:rFonts w:ascii="Arial" w:hAnsi="Arial"/>
          <w:sz w:val="22"/>
        </w:rPr>
        <w:t xml:space="preserve">external ethics review. In Aim 2, the Working Group will </w:t>
      </w:r>
      <w:r w:rsidR="005E12B1" w:rsidRPr="00577AD2">
        <w:rPr>
          <w:rFonts w:ascii="Arial" w:hAnsi="Arial"/>
          <w:sz w:val="22"/>
        </w:rPr>
        <w:t>consider policies that exclude non-federally</w:t>
      </w:r>
      <w:r w:rsidR="00CE7F34">
        <w:rPr>
          <w:rFonts w:ascii="Arial" w:hAnsi="Arial"/>
          <w:sz w:val="22"/>
        </w:rPr>
        <w:t xml:space="preserve"> funded research from oversight and</w:t>
      </w:r>
      <w:r w:rsidR="00790BEE" w:rsidRPr="00577AD2">
        <w:rPr>
          <w:rFonts w:ascii="Arial" w:hAnsi="Arial"/>
          <w:sz w:val="22"/>
        </w:rPr>
        <w:t xml:space="preserve"> whether certain key elements of IRB oversight may be adapted to form a hybrid, streamlined type of oversight for voluntary adoption by unregulated researchers. </w:t>
      </w:r>
    </w:p>
    <w:p w:rsidR="00882BD1" w:rsidRPr="00577AD2" w:rsidRDefault="001A22E6" w:rsidP="00EC1F9B">
      <w:pPr>
        <w:spacing w:after="60" w:line="220" w:lineRule="exact"/>
        <w:jc w:val="both"/>
        <w:rPr>
          <w:rFonts w:ascii="Arial" w:hAnsi="Arial"/>
          <w:sz w:val="22"/>
        </w:rPr>
      </w:pPr>
      <w:r>
        <w:rPr>
          <w:rFonts w:ascii="Arial" w:hAnsi="Arial"/>
          <w:sz w:val="22"/>
        </w:rPr>
        <w:t>S</w:t>
      </w:r>
      <w:r w:rsidR="00D245D8">
        <w:rPr>
          <w:rFonts w:ascii="Arial" w:hAnsi="Arial"/>
          <w:sz w:val="22"/>
        </w:rPr>
        <w:t>everal possible models</w:t>
      </w:r>
      <w:r w:rsidR="00882BD1">
        <w:rPr>
          <w:rFonts w:ascii="Arial" w:hAnsi="Arial"/>
          <w:sz w:val="22"/>
        </w:rPr>
        <w:t xml:space="preserve"> of research governance have been adopted by international consortia of researchers. These organizations have developed detailed guidance on many aspects of research protocol development, recruitment, </w:t>
      </w:r>
      <w:r w:rsidR="000B3DFA">
        <w:rPr>
          <w:rFonts w:ascii="Arial" w:hAnsi="Arial"/>
          <w:sz w:val="22"/>
        </w:rPr>
        <w:t xml:space="preserve">consent, </w:t>
      </w:r>
      <w:r w:rsidR="00882BD1">
        <w:rPr>
          <w:rFonts w:ascii="Arial" w:hAnsi="Arial"/>
          <w:sz w:val="22"/>
        </w:rPr>
        <w:t>data collection</w:t>
      </w:r>
      <w:r w:rsidR="0094479A">
        <w:rPr>
          <w:rFonts w:ascii="Arial" w:hAnsi="Arial"/>
          <w:sz w:val="22"/>
        </w:rPr>
        <w:t xml:space="preserve">, </w:t>
      </w:r>
      <w:r w:rsidR="00882BD1">
        <w:rPr>
          <w:rFonts w:ascii="Arial" w:hAnsi="Arial"/>
          <w:sz w:val="22"/>
        </w:rPr>
        <w:t xml:space="preserve">storage, </w:t>
      </w:r>
      <w:r w:rsidR="000B3DFA">
        <w:rPr>
          <w:rFonts w:ascii="Arial" w:hAnsi="Arial"/>
          <w:sz w:val="22"/>
        </w:rPr>
        <w:t xml:space="preserve">access </w:t>
      </w:r>
      <w:r w:rsidR="0021587B">
        <w:rPr>
          <w:rFonts w:ascii="Arial" w:hAnsi="Arial"/>
          <w:sz w:val="22"/>
        </w:rPr>
        <w:t>controls</w:t>
      </w:r>
      <w:r w:rsidR="000B3DFA">
        <w:rPr>
          <w:rFonts w:ascii="Arial" w:hAnsi="Arial"/>
          <w:sz w:val="22"/>
        </w:rPr>
        <w:t xml:space="preserve">, </w:t>
      </w:r>
      <w:r w:rsidR="00882BD1">
        <w:rPr>
          <w:rFonts w:ascii="Arial" w:hAnsi="Arial"/>
          <w:sz w:val="22"/>
        </w:rPr>
        <w:t xml:space="preserve">data sharing, and other matters. The Global Alliance for Genomics and Health, a group containing </w:t>
      </w:r>
      <w:r w:rsidR="00A57F06">
        <w:rPr>
          <w:rFonts w:ascii="Arial" w:hAnsi="Arial"/>
          <w:sz w:val="22"/>
        </w:rPr>
        <w:t xml:space="preserve">over 400 </w:t>
      </w:r>
      <w:r w:rsidR="00736FFD">
        <w:rPr>
          <w:rFonts w:ascii="Arial" w:hAnsi="Arial"/>
          <w:sz w:val="22"/>
        </w:rPr>
        <w:t xml:space="preserve">organizational </w:t>
      </w:r>
      <w:r w:rsidR="002659C0">
        <w:rPr>
          <w:rFonts w:ascii="Arial" w:hAnsi="Arial"/>
          <w:sz w:val="22"/>
        </w:rPr>
        <w:t>members from 69</w:t>
      </w:r>
      <w:r w:rsidR="00A57F06">
        <w:rPr>
          <w:rFonts w:ascii="Arial" w:hAnsi="Arial"/>
          <w:sz w:val="22"/>
        </w:rPr>
        <w:t xml:space="preserve"> countries,</w:t>
      </w:r>
      <w:r w:rsidR="00A57F06">
        <w:rPr>
          <w:rStyle w:val="EndnoteReference"/>
          <w:rFonts w:ascii="Arial" w:hAnsi="Arial"/>
          <w:sz w:val="22"/>
        </w:rPr>
        <w:endnoteReference w:id="34"/>
      </w:r>
      <w:r w:rsidR="00A57F06">
        <w:rPr>
          <w:rFonts w:ascii="Arial" w:hAnsi="Arial"/>
          <w:sz w:val="22"/>
        </w:rPr>
        <w:t xml:space="preserve"> </w:t>
      </w:r>
      <w:r w:rsidR="00882BD1">
        <w:rPr>
          <w:rFonts w:ascii="Arial" w:hAnsi="Arial"/>
          <w:sz w:val="22"/>
        </w:rPr>
        <w:t xml:space="preserve">is a leader in this field. Bartha Maria Knoppers, </w:t>
      </w:r>
      <w:r w:rsidR="006C0748">
        <w:rPr>
          <w:rFonts w:ascii="Arial" w:hAnsi="Arial"/>
          <w:sz w:val="22"/>
        </w:rPr>
        <w:t>a member of the Steering Committee of</w:t>
      </w:r>
      <w:r w:rsidR="00882BD1">
        <w:rPr>
          <w:rFonts w:ascii="Arial" w:hAnsi="Arial"/>
          <w:sz w:val="22"/>
        </w:rPr>
        <w:t xml:space="preserve"> the G</w:t>
      </w:r>
      <w:r w:rsidR="00A57F06">
        <w:rPr>
          <w:rFonts w:ascii="Arial" w:hAnsi="Arial"/>
          <w:sz w:val="22"/>
        </w:rPr>
        <w:t>lobal</w:t>
      </w:r>
      <w:r w:rsidR="00882BD1">
        <w:rPr>
          <w:rFonts w:ascii="Arial" w:hAnsi="Arial"/>
          <w:sz w:val="22"/>
        </w:rPr>
        <w:t xml:space="preserve"> Alliance, is a </w:t>
      </w:r>
      <w:r w:rsidR="00CE7F34">
        <w:rPr>
          <w:rFonts w:ascii="Arial" w:hAnsi="Arial"/>
          <w:sz w:val="22"/>
        </w:rPr>
        <w:t>member of the Working Group</w:t>
      </w:r>
      <w:r w:rsidR="00882BD1">
        <w:rPr>
          <w:rFonts w:ascii="Arial" w:hAnsi="Arial"/>
          <w:sz w:val="22"/>
        </w:rPr>
        <w:t>.</w:t>
      </w:r>
    </w:p>
    <w:p w:rsidR="000B52AE" w:rsidRPr="00577AD2" w:rsidRDefault="00685E47" w:rsidP="00EC1F9B">
      <w:pPr>
        <w:spacing w:after="60" w:line="220" w:lineRule="exact"/>
        <w:jc w:val="both"/>
        <w:rPr>
          <w:rFonts w:ascii="Arial" w:hAnsi="Arial"/>
          <w:sz w:val="22"/>
        </w:rPr>
      </w:pPr>
      <w:r w:rsidRPr="00685E47">
        <w:rPr>
          <w:rFonts w:ascii="Arial" w:hAnsi="Arial"/>
          <w:sz w:val="22"/>
        </w:rPr>
        <w:t>2.</w:t>
      </w:r>
      <w:r>
        <w:rPr>
          <w:rFonts w:ascii="Arial" w:hAnsi="Arial"/>
          <w:i/>
          <w:sz w:val="22"/>
          <w:u w:val="single"/>
        </w:rPr>
        <w:t xml:space="preserve"> </w:t>
      </w:r>
      <w:r w:rsidR="000B52AE" w:rsidRPr="00537E91">
        <w:rPr>
          <w:rFonts w:ascii="Arial" w:hAnsi="Arial"/>
          <w:i/>
          <w:sz w:val="22"/>
          <w:u w:val="single"/>
        </w:rPr>
        <w:t>Recruitment and inducements for participation</w:t>
      </w:r>
      <w:r w:rsidR="000B52AE" w:rsidRPr="00577AD2">
        <w:rPr>
          <w:rFonts w:ascii="Arial" w:hAnsi="Arial"/>
          <w:i/>
          <w:sz w:val="22"/>
        </w:rPr>
        <w:t xml:space="preserve">. </w:t>
      </w:r>
      <w:r w:rsidR="001A22E6">
        <w:rPr>
          <w:rFonts w:ascii="Arial" w:hAnsi="Arial"/>
          <w:sz w:val="22"/>
        </w:rPr>
        <w:t>C</w:t>
      </w:r>
      <w:r w:rsidR="000B52AE" w:rsidRPr="00577AD2">
        <w:rPr>
          <w:rFonts w:ascii="Arial" w:hAnsi="Arial"/>
          <w:sz w:val="22"/>
        </w:rPr>
        <w:t xml:space="preserve">oercive practices and financial inducements in </w:t>
      </w:r>
      <w:r w:rsidR="002E48E5">
        <w:rPr>
          <w:rFonts w:ascii="Arial" w:hAnsi="Arial"/>
          <w:sz w:val="22"/>
        </w:rPr>
        <w:t>mH</w:t>
      </w:r>
      <w:r w:rsidR="000B52AE" w:rsidRPr="00577AD2">
        <w:rPr>
          <w:rFonts w:ascii="Arial" w:hAnsi="Arial"/>
          <w:sz w:val="22"/>
        </w:rPr>
        <w:t xml:space="preserve">ealth research </w:t>
      </w:r>
      <w:r w:rsidR="001A22E6">
        <w:rPr>
          <w:rFonts w:ascii="Arial" w:hAnsi="Arial"/>
          <w:sz w:val="22"/>
        </w:rPr>
        <w:t xml:space="preserve">could </w:t>
      </w:r>
      <w:r w:rsidR="000B52AE" w:rsidRPr="00577AD2">
        <w:rPr>
          <w:rFonts w:ascii="Arial" w:hAnsi="Arial"/>
          <w:sz w:val="22"/>
        </w:rPr>
        <w:t>threaten participant autonomy.</w:t>
      </w:r>
      <w:r w:rsidR="000B52AE" w:rsidRPr="00577AD2">
        <w:rPr>
          <w:rStyle w:val="EndnoteReference"/>
          <w:rFonts w:ascii="Arial" w:hAnsi="Arial"/>
          <w:sz w:val="22"/>
        </w:rPr>
        <w:endnoteReference w:id="35"/>
      </w:r>
      <w:r w:rsidR="005E12B1" w:rsidRPr="00577AD2">
        <w:rPr>
          <w:rFonts w:ascii="Arial" w:hAnsi="Arial"/>
          <w:sz w:val="22"/>
        </w:rPr>
        <w:t xml:space="preserve"> </w:t>
      </w:r>
      <w:r w:rsidR="002B4166">
        <w:rPr>
          <w:rFonts w:ascii="Arial" w:hAnsi="Arial"/>
          <w:sz w:val="22"/>
        </w:rPr>
        <w:t>O</w:t>
      </w:r>
      <w:r w:rsidR="00CE7F34">
        <w:rPr>
          <w:rFonts w:ascii="Arial" w:hAnsi="Arial"/>
          <w:sz w:val="22"/>
        </w:rPr>
        <w:t>ne</w:t>
      </w:r>
      <w:r w:rsidR="000B52AE" w:rsidRPr="00577AD2">
        <w:rPr>
          <w:rFonts w:ascii="Arial" w:hAnsi="Arial"/>
          <w:sz w:val="22"/>
        </w:rPr>
        <w:t xml:space="preserve"> co</w:t>
      </w:r>
      <w:r w:rsidR="00C932D8">
        <w:rPr>
          <w:rFonts w:ascii="Arial" w:hAnsi="Arial"/>
          <w:sz w:val="22"/>
        </w:rPr>
        <w:t>ncern is whether recruitment for patient-directed research</w:t>
      </w:r>
      <w:r w:rsidR="000B52AE" w:rsidRPr="00577AD2">
        <w:rPr>
          <w:rFonts w:ascii="Arial" w:hAnsi="Arial"/>
          <w:sz w:val="22"/>
        </w:rPr>
        <w:t xml:space="preserve">, especially </w:t>
      </w:r>
      <w:r w:rsidR="00C932D8">
        <w:rPr>
          <w:rFonts w:ascii="Arial" w:hAnsi="Arial"/>
          <w:sz w:val="22"/>
        </w:rPr>
        <w:t xml:space="preserve">by </w:t>
      </w:r>
      <w:r w:rsidR="000B52AE" w:rsidRPr="00577AD2">
        <w:rPr>
          <w:rFonts w:ascii="Arial" w:hAnsi="Arial"/>
          <w:sz w:val="22"/>
        </w:rPr>
        <w:t xml:space="preserve">individuals with the same illness, is coercive in a way that traditional recruitment is </w:t>
      </w:r>
      <w:r w:rsidR="000B52AE" w:rsidRPr="00577AD2">
        <w:rPr>
          <w:rFonts w:ascii="Arial" w:hAnsi="Arial"/>
          <w:sz w:val="22"/>
        </w:rPr>
        <w:lastRenderedPageBreak/>
        <w:t>not. Although participants in m</w:t>
      </w:r>
      <w:r w:rsidR="002E48E5">
        <w:rPr>
          <w:rFonts w:ascii="Arial" w:hAnsi="Arial"/>
          <w:sz w:val="22"/>
        </w:rPr>
        <w:t>H</w:t>
      </w:r>
      <w:r w:rsidR="000B52AE" w:rsidRPr="00577AD2">
        <w:rPr>
          <w:rFonts w:ascii="Arial" w:hAnsi="Arial"/>
          <w:sz w:val="22"/>
        </w:rPr>
        <w:t xml:space="preserve">ealth research </w:t>
      </w:r>
      <w:r w:rsidR="00CE7F34">
        <w:rPr>
          <w:rFonts w:ascii="Arial" w:hAnsi="Arial"/>
          <w:sz w:val="22"/>
        </w:rPr>
        <w:t>may be motivated</w:t>
      </w:r>
      <w:r w:rsidR="000B52AE" w:rsidRPr="00577AD2">
        <w:rPr>
          <w:rFonts w:ascii="Arial" w:hAnsi="Arial"/>
          <w:sz w:val="22"/>
        </w:rPr>
        <w:t xml:space="preserve"> to participate by the offer of access to research data, including their own records, there is still a significant risk that a participant's decision to enroll in research will be motivated by the therapeutic misconception as to </w:t>
      </w:r>
      <w:r w:rsidR="0094479A">
        <w:rPr>
          <w:rFonts w:ascii="Arial" w:hAnsi="Arial"/>
          <w:sz w:val="22"/>
        </w:rPr>
        <w:t xml:space="preserve">possible benefits to their own health </w:t>
      </w:r>
      <w:r w:rsidR="000B52AE" w:rsidRPr="00577AD2">
        <w:rPr>
          <w:rFonts w:ascii="Arial" w:hAnsi="Arial"/>
          <w:sz w:val="22"/>
        </w:rPr>
        <w:t>or misapprehending the likelihood of near-term scientific discoveries that could benefit others.</w:t>
      </w:r>
      <w:r w:rsidR="000B52AE" w:rsidRPr="00577AD2">
        <w:rPr>
          <w:rStyle w:val="EndnoteReference"/>
          <w:rFonts w:ascii="Arial" w:hAnsi="Arial"/>
          <w:sz w:val="22"/>
        </w:rPr>
        <w:endnoteReference w:id="36"/>
      </w:r>
      <w:r w:rsidR="001A22E6">
        <w:rPr>
          <w:rFonts w:ascii="Arial" w:hAnsi="Arial"/>
          <w:sz w:val="22"/>
        </w:rPr>
        <w:t xml:space="preserve"> </w:t>
      </w:r>
      <w:r w:rsidR="00565FA0">
        <w:rPr>
          <w:rFonts w:ascii="Arial" w:hAnsi="Arial"/>
          <w:sz w:val="22"/>
        </w:rPr>
        <w:t>In Aim 2, th</w:t>
      </w:r>
      <w:r w:rsidR="001A22E6">
        <w:rPr>
          <w:rFonts w:ascii="Arial" w:hAnsi="Arial"/>
          <w:sz w:val="22"/>
        </w:rPr>
        <w:t xml:space="preserve">e </w:t>
      </w:r>
      <w:r w:rsidR="00565FA0">
        <w:rPr>
          <w:rFonts w:ascii="Arial" w:hAnsi="Arial"/>
          <w:sz w:val="22"/>
        </w:rPr>
        <w:t xml:space="preserve">Working Group </w:t>
      </w:r>
      <w:r w:rsidR="00CE7F34">
        <w:rPr>
          <w:rFonts w:ascii="Arial" w:hAnsi="Arial"/>
          <w:sz w:val="22"/>
        </w:rPr>
        <w:t>will</w:t>
      </w:r>
      <w:r w:rsidR="001A22E6">
        <w:rPr>
          <w:rFonts w:ascii="Arial" w:hAnsi="Arial"/>
          <w:sz w:val="22"/>
        </w:rPr>
        <w:t xml:space="preserve"> study the recruitment process for research using mobile devices.</w:t>
      </w:r>
      <w:r w:rsidR="000B52AE" w:rsidRPr="00577AD2">
        <w:rPr>
          <w:rFonts w:ascii="Arial" w:hAnsi="Arial"/>
          <w:sz w:val="22"/>
        </w:rPr>
        <w:t xml:space="preserve"> </w:t>
      </w:r>
    </w:p>
    <w:p w:rsidR="00250106" w:rsidRPr="00577AD2" w:rsidRDefault="00685E47" w:rsidP="00EC1F9B">
      <w:pPr>
        <w:spacing w:after="60" w:line="220" w:lineRule="exact"/>
        <w:jc w:val="both"/>
        <w:rPr>
          <w:rFonts w:ascii="Arial" w:hAnsi="Arial"/>
          <w:sz w:val="22"/>
        </w:rPr>
      </w:pPr>
      <w:r w:rsidRPr="00685E47">
        <w:rPr>
          <w:rFonts w:ascii="Arial" w:hAnsi="Arial"/>
          <w:sz w:val="22"/>
        </w:rPr>
        <w:t xml:space="preserve">3. </w:t>
      </w:r>
      <w:r w:rsidR="000B52AE" w:rsidRPr="00537E91">
        <w:rPr>
          <w:rFonts w:ascii="Arial" w:hAnsi="Arial"/>
          <w:i/>
          <w:sz w:val="22"/>
          <w:u w:val="single"/>
        </w:rPr>
        <w:t>Inclusion, exclusion, and the input/output problem</w:t>
      </w:r>
      <w:r w:rsidR="000B52AE" w:rsidRPr="00577AD2">
        <w:rPr>
          <w:rFonts w:ascii="Arial" w:hAnsi="Arial"/>
          <w:i/>
          <w:sz w:val="22"/>
        </w:rPr>
        <w:t xml:space="preserve">. </w:t>
      </w:r>
      <w:r w:rsidR="000B52AE" w:rsidRPr="00577AD2">
        <w:rPr>
          <w:rFonts w:ascii="Arial" w:hAnsi="Arial"/>
          <w:sz w:val="22"/>
        </w:rPr>
        <w:t>Increasing participation in health research among populations that have long been underrepresented is an i</w:t>
      </w:r>
      <w:r w:rsidR="001A22E6">
        <w:rPr>
          <w:rFonts w:ascii="Arial" w:hAnsi="Arial"/>
          <w:sz w:val="22"/>
        </w:rPr>
        <w:t xml:space="preserve">mportant goal because </w:t>
      </w:r>
      <w:r w:rsidR="00703E80" w:rsidRPr="00577AD2">
        <w:rPr>
          <w:rFonts w:ascii="Arial" w:hAnsi="Arial"/>
          <w:sz w:val="22"/>
        </w:rPr>
        <w:t xml:space="preserve">health research </w:t>
      </w:r>
      <w:r w:rsidR="000B52AE" w:rsidRPr="00577AD2">
        <w:rPr>
          <w:rFonts w:ascii="Arial" w:hAnsi="Arial"/>
          <w:sz w:val="22"/>
        </w:rPr>
        <w:t>disproportionately help</w:t>
      </w:r>
      <w:r w:rsidR="001A22E6">
        <w:rPr>
          <w:rFonts w:ascii="Arial" w:hAnsi="Arial"/>
          <w:sz w:val="22"/>
        </w:rPr>
        <w:t>s</w:t>
      </w:r>
      <w:r w:rsidR="000B52AE" w:rsidRPr="00577AD2">
        <w:rPr>
          <w:rFonts w:ascii="Arial" w:hAnsi="Arial"/>
          <w:sz w:val="22"/>
        </w:rPr>
        <w:t xml:space="preserve"> </w:t>
      </w:r>
      <w:r w:rsidR="0005253D">
        <w:rPr>
          <w:rFonts w:ascii="Arial" w:hAnsi="Arial"/>
          <w:sz w:val="22"/>
        </w:rPr>
        <w:t>individuals</w:t>
      </w:r>
      <w:r w:rsidR="000B52AE" w:rsidRPr="00577AD2">
        <w:rPr>
          <w:rFonts w:ascii="Arial" w:hAnsi="Arial"/>
          <w:sz w:val="22"/>
        </w:rPr>
        <w:t xml:space="preserve"> whose ancestry and social environments are similar to </w:t>
      </w:r>
      <w:r w:rsidR="00703E80" w:rsidRPr="00577AD2">
        <w:rPr>
          <w:rFonts w:ascii="Arial" w:hAnsi="Arial"/>
          <w:sz w:val="22"/>
        </w:rPr>
        <w:t xml:space="preserve">the </w:t>
      </w:r>
      <w:r w:rsidR="000B52AE" w:rsidRPr="00577AD2">
        <w:rPr>
          <w:rFonts w:ascii="Arial" w:hAnsi="Arial"/>
          <w:sz w:val="22"/>
        </w:rPr>
        <w:t>research participants.</w:t>
      </w:r>
      <w:r w:rsidR="000B52AE" w:rsidRPr="00577AD2">
        <w:rPr>
          <w:rStyle w:val="EndnoteReference"/>
          <w:rFonts w:ascii="Arial" w:hAnsi="Arial"/>
          <w:sz w:val="22"/>
        </w:rPr>
        <w:endnoteReference w:id="37"/>
      </w:r>
      <w:r w:rsidR="000B52AE" w:rsidRPr="00577AD2">
        <w:rPr>
          <w:rFonts w:ascii="Arial" w:hAnsi="Arial"/>
          <w:sz w:val="22"/>
        </w:rPr>
        <w:t xml:space="preserve"> </w:t>
      </w:r>
      <w:r w:rsidR="00531611" w:rsidRPr="00577AD2">
        <w:rPr>
          <w:rFonts w:ascii="Arial" w:hAnsi="Arial"/>
          <w:sz w:val="22"/>
        </w:rPr>
        <w:t xml:space="preserve">This has been referred to by S. Malia Fullerton (a </w:t>
      </w:r>
      <w:r w:rsidR="00CE7F34">
        <w:rPr>
          <w:rFonts w:ascii="Arial" w:hAnsi="Arial"/>
          <w:sz w:val="22"/>
        </w:rPr>
        <w:t>member of the Working Group</w:t>
      </w:r>
      <w:r w:rsidR="00531611" w:rsidRPr="00577AD2">
        <w:rPr>
          <w:rFonts w:ascii="Arial" w:hAnsi="Arial"/>
          <w:sz w:val="22"/>
        </w:rPr>
        <w:t>) as the "input/output problem."</w:t>
      </w:r>
      <w:r w:rsidR="00531611" w:rsidRPr="00577AD2">
        <w:rPr>
          <w:rStyle w:val="EndnoteReference"/>
          <w:rFonts w:ascii="Arial" w:hAnsi="Arial"/>
          <w:sz w:val="22"/>
        </w:rPr>
        <w:endnoteReference w:id="38"/>
      </w:r>
      <w:r w:rsidR="005E12B1" w:rsidRPr="00577AD2">
        <w:rPr>
          <w:rFonts w:ascii="Arial" w:hAnsi="Arial"/>
          <w:sz w:val="22"/>
        </w:rPr>
        <w:t xml:space="preserve"> </w:t>
      </w:r>
      <w:r w:rsidR="00531611" w:rsidRPr="00577AD2">
        <w:rPr>
          <w:rFonts w:ascii="Arial" w:hAnsi="Arial"/>
          <w:sz w:val="22"/>
        </w:rPr>
        <w:t xml:space="preserve">Mobile devices may prove to be an important </w:t>
      </w:r>
      <w:r w:rsidR="00250106" w:rsidRPr="00577AD2">
        <w:rPr>
          <w:rFonts w:ascii="Arial" w:hAnsi="Arial"/>
          <w:sz w:val="22"/>
        </w:rPr>
        <w:t>tool for achieving greater diversity among participants in health research beca</w:t>
      </w:r>
      <w:r w:rsidR="0094479A">
        <w:rPr>
          <w:rFonts w:ascii="Arial" w:hAnsi="Arial"/>
          <w:sz w:val="22"/>
        </w:rPr>
        <w:t>use they provide access to the I</w:t>
      </w:r>
      <w:r w:rsidR="00250106" w:rsidRPr="00577AD2">
        <w:rPr>
          <w:rFonts w:ascii="Arial" w:hAnsi="Arial"/>
          <w:sz w:val="22"/>
        </w:rPr>
        <w:t xml:space="preserve">nternet for many </w:t>
      </w:r>
      <w:r w:rsidR="0005253D">
        <w:rPr>
          <w:rFonts w:ascii="Arial" w:hAnsi="Arial"/>
          <w:sz w:val="22"/>
        </w:rPr>
        <w:t xml:space="preserve">members of </w:t>
      </w:r>
      <w:r w:rsidR="00250106" w:rsidRPr="00577AD2">
        <w:rPr>
          <w:rFonts w:ascii="Arial" w:hAnsi="Arial"/>
          <w:sz w:val="22"/>
        </w:rPr>
        <w:t>minorit</w:t>
      </w:r>
      <w:r w:rsidR="0005253D">
        <w:rPr>
          <w:rFonts w:ascii="Arial" w:hAnsi="Arial"/>
          <w:sz w:val="22"/>
        </w:rPr>
        <w:t>y</w:t>
      </w:r>
      <w:r w:rsidR="00250106" w:rsidRPr="00577AD2">
        <w:rPr>
          <w:rFonts w:ascii="Arial" w:hAnsi="Arial"/>
          <w:sz w:val="22"/>
        </w:rPr>
        <w:t xml:space="preserve"> </w:t>
      </w:r>
      <w:r w:rsidR="0005253D">
        <w:rPr>
          <w:rFonts w:ascii="Arial" w:hAnsi="Arial"/>
          <w:sz w:val="22"/>
        </w:rPr>
        <w:t xml:space="preserve">groups </w:t>
      </w:r>
      <w:r w:rsidR="00250106" w:rsidRPr="00577AD2">
        <w:rPr>
          <w:rFonts w:ascii="Arial" w:hAnsi="Arial"/>
          <w:sz w:val="22"/>
        </w:rPr>
        <w:t>and low-income Americans w</w:t>
      </w:r>
      <w:r w:rsidR="00703E80" w:rsidRPr="00577AD2">
        <w:rPr>
          <w:rFonts w:ascii="Arial" w:hAnsi="Arial"/>
          <w:sz w:val="22"/>
        </w:rPr>
        <w:t>ho have</w:t>
      </w:r>
      <w:r w:rsidR="00250106" w:rsidRPr="00577AD2">
        <w:rPr>
          <w:rFonts w:ascii="Arial" w:hAnsi="Arial"/>
          <w:sz w:val="22"/>
        </w:rPr>
        <w:t xml:space="preserve"> no alternative.</w:t>
      </w:r>
      <w:r w:rsidR="00250106" w:rsidRPr="00577AD2">
        <w:rPr>
          <w:rStyle w:val="EndnoteReference"/>
          <w:rFonts w:ascii="Arial" w:hAnsi="Arial"/>
          <w:sz w:val="22"/>
        </w:rPr>
        <w:endnoteReference w:id="39"/>
      </w:r>
      <w:r w:rsidR="00250106" w:rsidRPr="00577AD2">
        <w:rPr>
          <w:rFonts w:ascii="Arial" w:hAnsi="Arial"/>
          <w:sz w:val="22"/>
        </w:rPr>
        <w:t xml:space="preserve"> It remains unclear, however, whether access to mobile devices will translate into increased research participation</w:t>
      </w:r>
      <w:r w:rsidR="008B2554">
        <w:rPr>
          <w:rFonts w:ascii="Arial" w:hAnsi="Arial"/>
          <w:sz w:val="22"/>
        </w:rPr>
        <w:t xml:space="preserve"> and </w:t>
      </w:r>
      <w:r w:rsidR="006B3B22">
        <w:rPr>
          <w:rFonts w:ascii="Arial" w:hAnsi="Arial"/>
          <w:sz w:val="22"/>
        </w:rPr>
        <w:t xml:space="preserve">biological diversity. Finally, </w:t>
      </w:r>
      <w:r w:rsidR="005864B0" w:rsidRPr="005864B0">
        <w:rPr>
          <w:rFonts w:ascii="Arial" w:hAnsi="Arial"/>
          <w:sz w:val="22"/>
        </w:rPr>
        <w:t xml:space="preserve">an online participant </w:t>
      </w:r>
      <w:r w:rsidR="008B2554">
        <w:rPr>
          <w:rFonts w:ascii="Arial" w:hAnsi="Arial"/>
          <w:sz w:val="22"/>
        </w:rPr>
        <w:t>might</w:t>
      </w:r>
      <w:r w:rsidR="005864B0" w:rsidRPr="005864B0">
        <w:rPr>
          <w:rFonts w:ascii="Arial" w:hAnsi="Arial"/>
          <w:sz w:val="22"/>
        </w:rPr>
        <w:t xml:space="preserve"> fraudulently misrepresent his or her eligibility, misstate key facts, or participate multiple times.</w:t>
      </w:r>
      <w:r w:rsidR="005864B0">
        <w:rPr>
          <w:rStyle w:val="EndnoteReference"/>
          <w:rFonts w:ascii="Arial" w:hAnsi="Arial"/>
          <w:sz w:val="22"/>
        </w:rPr>
        <w:endnoteReference w:id="40"/>
      </w:r>
      <w:r w:rsidR="008B2554">
        <w:rPr>
          <w:rFonts w:ascii="Arial" w:hAnsi="Arial"/>
          <w:sz w:val="22"/>
        </w:rPr>
        <w:t xml:space="preserve"> </w:t>
      </w:r>
      <w:r w:rsidR="00565FA0">
        <w:rPr>
          <w:rFonts w:ascii="Arial" w:hAnsi="Arial"/>
          <w:sz w:val="22"/>
        </w:rPr>
        <w:t>In Aim 2, t</w:t>
      </w:r>
      <w:r w:rsidR="008B2554">
        <w:rPr>
          <w:rFonts w:ascii="Arial" w:hAnsi="Arial"/>
          <w:sz w:val="22"/>
        </w:rPr>
        <w:t>he Working Group will address these important issues.</w:t>
      </w:r>
      <w:r w:rsidR="005864B0" w:rsidRPr="005864B0">
        <w:rPr>
          <w:rFonts w:ascii="Arial" w:hAnsi="Arial"/>
          <w:sz w:val="22"/>
        </w:rPr>
        <w:t xml:space="preserve">  </w:t>
      </w:r>
    </w:p>
    <w:p w:rsidR="00567ECF" w:rsidRPr="00577AD2" w:rsidRDefault="00685E47" w:rsidP="00EC1F9B">
      <w:pPr>
        <w:spacing w:after="60" w:line="220" w:lineRule="exact"/>
        <w:jc w:val="both"/>
        <w:rPr>
          <w:rFonts w:ascii="Arial" w:hAnsi="Arial"/>
          <w:sz w:val="22"/>
        </w:rPr>
      </w:pPr>
      <w:r w:rsidRPr="00685E47">
        <w:rPr>
          <w:rFonts w:ascii="Arial" w:hAnsi="Arial"/>
          <w:sz w:val="22"/>
        </w:rPr>
        <w:t xml:space="preserve">4. </w:t>
      </w:r>
      <w:r w:rsidR="00250106" w:rsidRPr="00537E91">
        <w:rPr>
          <w:rFonts w:ascii="Arial" w:hAnsi="Arial"/>
          <w:i/>
          <w:sz w:val="22"/>
          <w:u w:val="single"/>
        </w:rPr>
        <w:t>Informed consent</w:t>
      </w:r>
      <w:r w:rsidR="00250106" w:rsidRPr="00577AD2">
        <w:rPr>
          <w:rFonts w:ascii="Arial" w:hAnsi="Arial"/>
          <w:i/>
          <w:sz w:val="22"/>
        </w:rPr>
        <w:t xml:space="preserve">. </w:t>
      </w:r>
      <w:r w:rsidR="00250106" w:rsidRPr="00577AD2">
        <w:rPr>
          <w:rFonts w:ascii="Arial" w:hAnsi="Arial"/>
          <w:sz w:val="22"/>
        </w:rPr>
        <w:t xml:space="preserve">Informed consent, the touchstone of modern research ethics, contains two important elements: (1) the obligation of researchers to inform potential participants about known risks and benefits, as well as other relevant information; and (2) the autonomy of individuals to decide whether to participate, with additional protections for individuals with diminished autonomy (e.g., children and </w:t>
      </w:r>
      <w:r w:rsidR="001A22E6">
        <w:rPr>
          <w:rFonts w:ascii="Arial" w:hAnsi="Arial"/>
          <w:sz w:val="22"/>
        </w:rPr>
        <w:t>adults</w:t>
      </w:r>
      <w:r w:rsidR="00250106" w:rsidRPr="00577AD2">
        <w:rPr>
          <w:rFonts w:ascii="Arial" w:hAnsi="Arial"/>
          <w:sz w:val="22"/>
        </w:rPr>
        <w:t xml:space="preserve"> with </w:t>
      </w:r>
      <w:r w:rsidR="00F55B20">
        <w:rPr>
          <w:rFonts w:ascii="Arial" w:hAnsi="Arial"/>
          <w:sz w:val="22"/>
        </w:rPr>
        <w:t>intellectual</w:t>
      </w:r>
      <w:r w:rsidR="00250106" w:rsidRPr="00577AD2">
        <w:rPr>
          <w:rFonts w:ascii="Arial" w:hAnsi="Arial"/>
          <w:sz w:val="22"/>
        </w:rPr>
        <w:t xml:space="preserve"> impairments</w:t>
      </w:r>
      <w:r w:rsidR="00D147AC">
        <w:rPr>
          <w:rFonts w:ascii="Arial" w:hAnsi="Arial"/>
          <w:sz w:val="22"/>
        </w:rPr>
        <w:t>)</w:t>
      </w:r>
      <w:r w:rsidR="00567ECF" w:rsidRPr="00577AD2">
        <w:rPr>
          <w:rFonts w:ascii="Arial" w:hAnsi="Arial"/>
          <w:sz w:val="22"/>
        </w:rPr>
        <w:t>.</w:t>
      </w:r>
      <w:r w:rsidR="0005253D">
        <w:rPr>
          <w:rFonts w:ascii="Arial" w:hAnsi="Arial"/>
          <w:sz w:val="22"/>
        </w:rPr>
        <w:t xml:space="preserve"> </w:t>
      </w:r>
      <w:r w:rsidR="008B2554">
        <w:rPr>
          <w:rFonts w:ascii="Arial" w:hAnsi="Arial"/>
          <w:sz w:val="22"/>
        </w:rPr>
        <w:t xml:space="preserve">Research with mobile devices challenges traditional notions of informed consent in that, historically, informed consent </w:t>
      </w:r>
      <w:r w:rsidR="0054274A">
        <w:rPr>
          <w:rFonts w:ascii="Arial" w:hAnsi="Arial"/>
          <w:sz w:val="22"/>
        </w:rPr>
        <w:t xml:space="preserve">has been in the context of face-to-face interactions by investigators with potential research participants. Translating informed consent to </w:t>
      </w:r>
      <w:r w:rsidR="002E48E5">
        <w:rPr>
          <w:rFonts w:ascii="Arial" w:hAnsi="Arial"/>
          <w:sz w:val="22"/>
        </w:rPr>
        <w:t>online</w:t>
      </w:r>
      <w:r w:rsidR="0054274A">
        <w:rPr>
          <w:rFonts w:ascii="Arial" w:hAnsi="Arial"/>
          <w:sz w:val="22"/>
        </w:rPr>
        <w:t xml:space="preserve"> research has been difficult.</w:t>
      </w:r>
      <w:r w:rsidR="0054274A">
        <w:rPr>
          <w:rStyle w:val="EndnoteReference"/>
          <w:rFonts w:ascii="Arial" w:hAnsi="Arial"/>
          <w:sz w:val="22"/>
        </w:rPr>
        <w:endnoteReference w:id="41"/>
      </w:r>
      <w:r w:rsidR="0054274A">
        <w:rPr>
          <w:rFonts w:ascii="Arial" w:hAnsi="Arial"/>
          <w:sz w:val="22"/>
        </w:rPr>
        <w:t xml:space="preserve"> </w:t>
      </w:r>
      <w:r w:rsidR="0021587B">
        <w:rPr>
          <w:rFonts w:ascii="Arial" w:hAnsi="Arial"/>
          <w:sz w:val="22"/>
        </w:rPr>
        <w:t xml:space="preserve">A highly interactive online consent process was developed and successfully used by John Wilbanks of Sage Bionetworks, PD/PI on this grant application. </w:t>
      </w:r>
      <w:r w:rsidR="00D147AC">
        <w:rPr>
          <w:rFonts w:ascii="Arial" w:hAnsi="Arial"/>
          <w:sz w:val="22"/>
        </w:rPr>
        <w:t>Nevertheless this model of informed consent has not been widely adopted</w:t>
      </w:r>
      <w:r w:rsidR="0054274A">
        <w:rPr>
          <w:rFonts w:ascii="Arial" w:hAnsi="Arial"/>
          <w:sz w:val="22"/>
        </w:rPr>
        <w:t xml:space="preserve">. </w:t>
      </w:r>
      <w:r w:rsidR="0094479A">
        <w:rPr>
          <w:rFonts w:ascii="Arial" w:hAnsi="Arial"/>
          <w:sz w:val="22"/>
        </w:rPr>
        <w:t>W</w:t>
      </w:r>
      <w:r w:rsidR="00567ECF" w:rsidRPr="00577AD2">
        <w:rPr>
          <w:rFonts w:ascii="Arial" w:hAnsi="Arial"/>
          <w:sz w:val="22"/>
        </w:rPr>
        <w:t xml:space="preserve">e </w:t>
      </w:r>
      <w:r w:rsidR="00D147AC">
        <w:rPr>
          <w:rFonts w:ascii="Arial" w:hAnsi="Arial"/>
          <w:sz w:val="22"/>
        </w:rPr>
        <w:t>will</w:t>
      </w:r>
      <w:r w:rsidR="00567ECF" w:rsidRPr="00577AD2">
        <w:rPr>
          <w:rFonts w:ascii="Arial" w:hAnsi="Arial"/>
          <w:sz w:val="22"/>
        </w:rPr>
        <w:t xml:space="preserve"> study the necessity and viability of informed consent as well as possible new methods of </w:t>
      </w:r>
      <w:r w:rsidR="0054274A">
        <w:rPr>
          <w:rFonts w:ascii="Arial" w:hAnsi="Arial"/>
          <w:sz w:val="22"/>
        </w:rPr>
        <w:t xml:space="preserve">informed </w:t>
      </w:r>
      <w:r w:rsidR="00567ECF" w:rsidRPr="00577AD2">
        <w:rPr>
          <w:rFonts w:ascii="Arial" w:hAnsi="Arial"/>
          <w:sz w:val="22"/>
        </w:rPr>
        <w:t>consent</w:t>
      </w:r>
      <w:r w:rsidR="00703E80" w:rsidRPr="00577AD2">
        <w:rPr>
          <w:rFonts w:ascii="Arial" w:hAnsi="Arial"/>
          <w:sz w:val="22"/>
        </w:rPr>
        <w:t xml:space="preserve"> for </w:t>
      </w:r>
      <w:r w:rsidR="002E48E5">
        <w:rPr>
          <w:rFonts w:ascii="Arial" w:hAnsi="Arial"/>
          <w:sz w:val="22"/>
        </w:rPr>
        <w:t>mH</w:t>
      </w:r>
      <w:r w:rsidR="00703E80" w:rsidRPr="00577AD2">
        <w:rPr>
          <w:rFonts w:ascii="Arial" w:hAnsi="Arial"/>
          <w:sz w:val="22"/>
        </w:rPr>
        <w:t>ealth research</w:t>
      </w:r>
      <w:r w:rsidR="00567ECF" w:rsidRPr="00577AD2">
        <w:rPr>
          <w:rFonts w:ascii="Arial" w:hAnsi="Arial"/>
          <w:sz w:val="22"/>
        </w:rPr>
        <w:t>.</w:t>
      </w:r>
    </w:p>
    <w:p w:rsidR="00E3598F" w:rsidRPr="00577AD2" w:rsidRDefault="00685E47" w:rsidP="00EC1F9B">
      <w:pPr>
        <w:spacing w:after="60" w:line="220" w:lineRule="exact"/>
        <w:jc w:val="both"/>
        <w:rPr>
          <w:rFonts w:ascii="Arial" w:hAnsi="Arial"/>
          <w:sz w:val="22"/>
        </w:rPr>
      </w:pPr>
      <w:r w:rsidRPr="00685E47">
        <w:rPr>
          <w:rFonts w:ascii="Arial" w:hAnsi="Arial"/>
          <w:sz w:val="22"/>
        </w:rPr>
        <w:t xml:space="preserve">5. </w:t>
      </w:r>
      <w:r w:rsidR="00567ECF" w:rsidRPr="00537E91">
        <w:rPr>
          <w:rFonts w:ascii="Arial" w:hAnsi="Arial"/>
          <w:i/>
          <w:sz w:val="22"/>
          <w:u w:val="single"/>
        </w:rPr>
        <w:t>Confidentiality and security</w:t>
      </w:r>
      <w:r w:rsidR="00567ECF" w:rsidRPr="00577AD2">
        <w:rPr>
          <w:rFonts w:ascii="Arial" w:hAnsi="Arial"/>
          <w:i/>
          <w:sz w:val="22"/>
        </w:rPr>
        <w:t xml:space="preserve">. </w:t>
      </w:r>
      <w:r w:rsidR="00567ECF" w:rsidRPr="00577AD2">
        <w:rPr>
          <w:rFonts w:ascii="Arial" w:hAnsi="Arial"/>
          <w:sz w:val="22"/>
        </w:rPr>
        <w:t xml:space="preserve">Regulated health researchers are legally required to safeguard the health information of research participants in accordance with the research protocol, only disclosing health information according to the </w:t>
      </w:r>
      <w:r w:rsidR="008B2554">
        <w:rPr>
          <w:rFonts w:ascii="Arial" w:hAnsi="Arial"/>
          <w:sz w:val="22"/>
        </w:rPr>
        <w:t>informed consent document</w:t>
      </w:r>
      <w:r w:rsidR="00567ECF" w:rsidRPr="00577AD2">
        <w:rPr>
          <w:rFonts w:ascii="Arial" w:hAnsi="Arial"/>
          <w:sz w:val="22"/>
        </w:rPr>
        <w:t xml:space="preserve"> or when compelled by law.</w:t>
      </w:r>
      <w:r w:rsidR="00567ECF" w:rsidRPr="00577AD2">
        <w:rPr>
          <w:rStyle w:val="EndnoteReference"/>
          <w:rFonts w:ascii="Arial" w:hAnsi="Arial"/>
          <w:sz w:val="22"/>
        </w:rPr>
        <w:endnoteReference w:id="42"/>
      </w:r>
      <w:r w:rsidR="00250106" w:rsidRPr="00577AD2">
        <w:rPr>
          <w:rFonts w:ascii="Arial" w:hAnsi="Arial"/>
          <w:sz w:val="22"/>
        </w:rPr>
        <w:t xml:space="preserve"> </w:t>
      </w:r>
      <w:r w:rsidR="00565FA0">
        <w:rPr>
          <w:rFonts w:ascii="Arial" w:hAnsi="Arial"/>
          <w:sz w:val="22"/>
        </w:rPr>
        <w:t xml:space="preserve">In Aim 2, the Working Group will consider if a </w:t>
      </w:r>
      <w:r w:rsidR="00C932D8">
        <w:rPr>
          <w:rFonts w:ascii="Arial" w:hAnsi="Arial"/>
          <w:sz w:val="22"/>
        </w:rPr>
        <w:t>traditional or modified</w:t>
      </w:r>
      <w:r w:rsidR="00567ECF" w:rsidRPr="00577AD2">
        <w:rPr>
          <w:rFonts w:ascii="Arial" w:hAnsi="Arial"/>
          <w:sz w:val="22"/>
        </w:rPr>
        <w:t xml:space="preserve"> confidentiality obligation should apply to unregulated </w:t>
      </w:r>
      <w:r w:rsidR="002E48E5">
        <w:rPr>
          <w:rFonts w:ascii="Arial" w:hAnsi="Arial"/>
          <w:sz w:val="22"/>
        </w:rPr>
        <w:t>mH</w:t>
      </w:r>
      <w:r w:rsidR="001A22E6">
        <w:rPr>
          <w:rFonts w:ascii="Arial" w:hAnsi="Arial"/>
          <w:sz w:val="22"/>
        </w:rPr>
        <w:t xml:space="preserve">ealth </w:t>
      </w:r>
      <w:r w:rsidR="00567ECF" w:rsidRPr="00577AD2">
        <w:rPr>
          <w:rFonts w:ascii="Arial" w:hAnsi="Arial"/>
          <w:sz w:val="22"/>
        </w:rPr>
        <w:t xml:space="preserve">researchers and whether assurances of confidentiality made by these researchers can be enforced or breaches redressed. </w:t>
      </w:r>
      <w:r w:rsidR="006B3B22">
        <w:rPr>
          <w:rFonts w:ascii="Arial" w:hAnsi="Arial"/>
          <w:sz w:val="22"/>
        </w:rPr>
        <w:t>We also</w:t>
      </w:r>
      <w:r w:rsidR="00232A1A">
        <w:rPr>
          <w:rFonts w:ascii="Arial" w:hAnsi="Arial"/>
          <w:sz w:val="22"/>
        </w:rPr>
        <w:t xml:space="preserve"> will</w:t>
      </w:r>
      <w:r w:rsidR="006B3B22">
        <w:rPr>
          <w:rFonts w:ascii="Arial" w:hAnsi="Arial"/>
          <w:sz w:val="22"/>
        </w:rPr>
        <w:t xml:space="preserve"> </w:t>
      </w:r>
      <w:r w:rsidR="00D147AC">
        <w:rPr>
          <w:rFonts w:ascii="Arial" w:hAnsi="Arial"/>
          <w:sz w:val="22"/>
        </w:rPr>
        <w:t>analyze</w:t>
      </w:r>
      <w:r w:rsidR="006B3B22">
        <w:rPr>
          <w:rFonts w:ascii="Arial" w:hAnsi="Arial"/>
          <w:sz w:val="22"/>
        </w:rPr>
        <w:t xml:space="preserve"> whether strategies can be designed to prevent information from non-participants from being inadvertently captured by mHealth researchers. Finally, t</w:t>
      </w:r>
      <w:r w:rsidR="00565FA0">
        <w:rPr>
          <w:rFonts w:ascii="Arial" w:hAnsi="Arial"/>
          <w:sz w:val="22"/>
        </w:rPr>
        <w:t xml:space="preserve">he issue of security is </w:t>
      </w:r>
      <w:r w:rsidR="00567ECF" w:rsidRPr="00577AD2">
        <w:rPr>
          <w:rFonts w:ascii="Arial" w:hAnsi="Arial"/>
          <w:sz w:val="22"/>
        </w:rPr>
        <w:t xml:space="preserve">implicated when health information, including clinical records, is transmitted electronically. We </w:t>
      </w:r>
      <w:r w:rsidR="00D147AC">
        <w:rPr>
          <w:rFonts w:ascii="Arial" w:hAnsi="Arial"/>
          <w:sz w:val="22"/>
        </w:rPr>
        <w:t xml:space="preserve">will </w:t>
      </w:r>
      <w:r w:rsidR="002E48E5">
        <w:rPr>
          <w:rFonts w:ascii="Arial" w:hAnsi="Arial"/>
          <w:sz w:val="22"/>
        </w:rPr>
        <w:t>study</w:t>
      </w:r>
      <w:r w:rsidR="00567ECF" w:rsidRPr="00577AD2">
        <w:rPr>
          <w:rFonts w:ascii="Arial" w:hAnsi="Arial"/>
          <w:sz w:val="22"/>
        </w:rPr>
        <w:t xml:space="preserve"> whether the same standards for security</w:t>
      </w:r>
      <w:r w:rsidR="001C44CC">
        <w:rPr>
          <w:rFonts w:ascii="Arial" w:hAnsi="Arial"/>
          <w:sz w:val="22"/>
        </w:rPr>
        <w:t>, including</w:t>
      </w:r>
      <w:r w:rsidR="00567ECF" w:rsidRPr="00577AD2">
        <w:rPr>
          <w:rFonts w:ascii="Arial" w:hAnsi="Arial"/>
          <w:sz w:val="22"/>
        </w:rPr>
        <w:t xml:space="preserve"> </w:t>
      </w:r>
      <w:r w:rsidR="001C44CC" w:rsidRPr="001C44CC">
        <w:rPr>
          <w:rFonts w:ascii="Arial" w:hAnsi="Arial"/>
          <w:sz w:val="22"/>
        </w:rPr>
        <w:t>encryption and participant identity verification</w:t>
      </w:r>
      <w:r w:rsidR="001C44CC">
        <w:rPr>
          <w:rFonts w:ascii="Arial" w:hAnsi="Arial"/>
          <w:sz w:val="22"/>
        </w:rPr>
        <w:t xml:space="preserve">, </w:t>
      </w:r>
      <w:r w:rsidR="00567ECF" w:rsidRPr="00577AD2">
        <w:rPr>
          <w:rFonts w:ascii="Arial" w:hAnsi="Arial"/>
          <w:sz w:val="22"/>
        </w:rPr>
        <w:t>should apply to unregulated m</w:t>
      </w:r>
      <w:r w:rsidR="002E48E5">
        <w:rPr>
          <w:rFonts w:ascii="Arial" w:hAnsi="Arial"/>
          <w:sz w:val="22"/>
        </w:rPr>
        <w:t>H</w:t>
      </w:r>
      <w:r w:rsidR="00567ECF" w:rsidRPr="00577AD2">
        <w:rPr>
          <w:rFonts w:ascii="Arial" w:hAnsi="Arial"/>
          <w:sz w:val="22"/>
        </w:rPr>
        <w:t>ealth research.</w:t>
      </w:r>
    </w:p>
    <w:p w:rsidR="00720429" w:rsidRPr="00577AD2" w:rsidRDefault="00685E47" w:rsidP="00EC1F9B">
      <w:pPr>
        <w:spacing w:after="60" w:line="220" w:lineRule="exact"/>
        <w:jc w:val="both"/>
        <w:rPr>
          <w:rFonts w:ascii="Arial" w:hAnsi="Arial"/>
          <w:sz w:val="22"/>
        </w:rPr>
      </w:pPr>
      <w:r w:rsidRPr="00685E47">
        <w:rPr>
          <w:rFonts w:ascii="Arial" w:hAnsi="Arial"/>
          <w:sz w:val="22"/>
        </w:rPr>
        <w:t xml:space="preserve">6. </w:t>
      </w:r>
      <w:r w:rsidR="00567ECF" w:rsidRPr="00537E91">
        <w:rPr>
          <w:rFonts w:ascii="Arial" w:hAnsi="Arial"/>
          <w:i/>
          <w:sz w:val="22"/>
          <w:u w:val="single"/>
        </w:rPr>
        <w:t>Children and other vulnerable participants</w:t>
      </w:r>
      <w:r w:rsidR="00567ECF" w:rsidRPr="00577AD2">
        <w:rPr>
          <w:rFonts w:ascii="Arial" w:hAnsi="Arial"/>
          <w:i/>
          <w:sz w:val="22"/>
        </w:rPr>
        <w:t xml:space="preserve">. </w:t>
      </w:r>
      <w:r w:rsidR="00567ECF" w:rsidRPr="00577AD2">
        <w:rPr>
          <w:rFonts w:ascii="Arial" w:hAnsi="Arial"/>
          <w:sz w:val="22"/>
        </w:rPr>
        <w:t>Vulnerable research participants, including children and intellectually impaired adults, raise difficult issues for m</w:t>
      </w:r>
      <w:r w:rsidR="002E48E5">
        <w:rPr>
          <w:rFonts w:ascii="Arial" w:hAnsi="Arial"/>
          <w:sz w:val="22"/>
        </w:rPr>
        <w:t>H</w:t>
      </w:r>
      <w:r w:rsidR="00567ECF" w:rsidRPr="00577AD2">
        <w:rPr>
          <w:rFonts w:ascii="Arial" w:hAnsi="Arial"/>
          <w:sz w:val="22"/>
        </w:rPr>
        <w:t>ealth research.</w:t>
      </w:r>
      <w:r w:rsidR="00567ECF" w:rsidRPr="00577AD2">
        <w:rPr>
          <w:rStyle w:val="EndnoteReference"/>
          <w:rFonts w:ascii="Arial" w:hAnsi="Arial"/>
          <w:sz w:val="22"/>
        </w:rPr>
        <w:endnoteReference w:id="43"/>
      </w:r>
      <w:r w:rsidR="00567ECF" w:rsidRPr="00577AD2">
        <w:rPr>
          <w:rFonts w:ascii="Arial" w:hAnsi="Arial"/>
          <w:sz w:val="22"/>
        </w:rPr>
        <w:t xml:space="preserve"> </w:t>
      </w:r>
      <w:r w:rsidR="00720429" w:rsidRPr="00577AD2">
        <w:rPr>
          <w:rFonts w:ascii="Arial" w:hAnsi="Arial"/>
          <w:sz w:val="22"/>
        </w:rPr>
        <w:t xml:space="preserve">In face-to-face research, investigators are able to evaluate the competence of the individuals to consent or assent to research participation and, when necessary, to identify the competent adult legally authorized to give permission in their stead. </w:t>
      </w:r>
      <w:r w:rsidR="00882BD1">
        <w:rPr>
          <w:rFonts w:ascii="Arial" w:hAnsi="Arial"/>
          <w:sz w:val="22"/>
        </w:rPr>
        <w:t xml:space="preserve">In addition, putting demographic and health information about children on unsecure mobile devices and transmitting it electronically could create a risk that it would be intercepted by </w:t>
      </w:r>
      <w:r w:rsidR="00F376AF">
        <w:rPr>
          <w:rFonts w:ascii="Arial" w:hAnsi="Arial"/>
          <w:sz w:val="22"/>
        </w:rPr>
        <w:t>persons intending harm, such as</w:t>
      </w:r>
      <w:r w:rsidR="00882BD1">
        <w:rPr>
          <w:rFonts w:ascii="Arial" w:hAnsi="Arial"/>
          <w:sz w:val="22"/>
        </w:rPr>
        <w:t xml:space="preserve"> pedophile</w:t>
      </w:r>
      <w:r w:rsidR="00F376AF">
        <w:rPr>
          <w:rFonts w:ascii="Arial" w:hAnsi="Arial"/>
          <w:sz w:val="22"/>
        </w:rPr>
        <w:t>s or estranged parents</w:t>
      </w:r>
      <w:r w:rsidR="00882BD1">
        <w:rPr>
          <w:rFonts w:ascii="Arial" w:hAnsi="Arial"/>
          <w:sz w:val="22"/>
        </w:rPr>
        <w:t xml:space="preserve">. </w:t>
      </w:r>
      <w:r w:rsidR="00565FA0">
        <w:rPr>
          <w:rFonts w:ascii="Arial" w:hAnsi="Arial"/>
          <w:sz w:val="22"/>
        </w:rPr>
        <w:t>In Aim 2, the Working Group will consider</w:t>
      </w:r>
      <w:r w:rsidR="00720429" w:rsidRPr="00577AD2">
        <w:rPr>
          <w:rFonts w:ascii="Arial" w:hAnsi="Arial"/>
          <w:sz w:val="22"/>
        </w:rPr>
        <w:t xml:space="preserve"> the unique issues raised by unregulated m</w:t>
      </w:r>
      <w:r w:rsidR="002E48E5">
        <w:rPr>
          <w:rFonts w:ascii="Arial" w:hAnsi="Arial"/>
          <w:sz w:val="22"/>
        </w:rPr>
        <w:t>H</w:t>
      </w:r>
      <w:r w:rsidR="00720429" w:rsidRPr="00577AD2">
        <w:rPr>
          <w:rFonts w:ascii="Arial" w:hAnsi="Arial"/>
          <w:sz w:val="22"/>
        </w:rPr>
        <w:t>ealth research using vulnerable research participants.</w:t>
      </w:r>
      <w:r w:rsidR="0005253D">
        <w:rPr>
          <w:rFonts w:ascii="Arial" w:hAnsi="Arial"/>
          <w:sz w:val="22"/>
        </w:rPr>
        <w:t xml:space="preserve"> Kyle Brothers, an expert on pediatric research</w:t>
      </w:r>
      <w:r w:rsidR="000D41B5">
        <w:rPr>
          <w:rFonts w:ascii="Arial" w:hAnsi="Arial"/>
          <w:sz w:val="22"/>
        </w:rPr>
        <w:t xml:space="preserve"> ethics</w:t>
      </w:r>
      <w:r w:rsidR="0005253D">
        <w:rPr>
          <w:rFonts w:ascii="Arial" w:hAnsi="Arial"/>
          <w:sz w:val="22"/>
        </w:rPr>
        <w:t>, is a co-investigator.</w:t>
      </w:r>
    </w:p>
    <w:p w:rsidR="00720429" w:rsidRPr="00577AD2" w:rsidRDefault="00685E47" w:rsidP="00EC1F9B">
      <w:pPr>
        <w:spacing w:after="60" w:line="220" w:lineRule="exact"/>
        <w:jc w:val="both"/>
        <w:rPr>
          <w:rFonts w:ascii="Arial" w:hAnsi="Arial"/>
          <w:sz w:val="22"/>
        </w:rPr>
      </w:pPr>
      <w:r w:rsidRPr="00685E47">
        <w:rPr>
          <w:rFonts w:ascii="Arial" w:hAnsi="Arial"/>
          <w:sz w:val="22"/>
        </w:rPr>
        <w:t xml:space="preserve">7. </w:t>
      </w:r>
      <w:r w:rsidR="00720429" w:rsidRPr="00331D74">
        <w:rPr>
          <w:rFonts w:ascii="Arial" w:hAnsi="Arial"/>
          <w:i/>
          <w:sz w:val="22"/>
          <w:u w:val="single"/>
        </w:rPr>
        <w:t>Incidental findings and return of results</w:t>
      </w:r>
      <w:r w:rsidR="00720429" w:rsidRPr="00577AD2">
        <w:rPr>
          <w:rFonts w:ascii="Arial" w:hAnsi="Arial"/>
          <w:i/>
          <w:sz w:val="22"/>
        </w:rPr>
        <w:t xml:space="preserve">. </w:t>
      </w:r>
      <w:r w:rsidR="00720429" w:rsidRPr="00577AD2">
        <w:rPr>
          <w:rFonts w:ascii="Arial" w:hAnsi="Arial"/>
          <w:sz w:val="22"/>
        </w:rPr>
        <w:t>Substantial recent scholarship has been devoted to the issue of whether researchers, especially those engaged in genetic or genomic research, are required, permitted, or prohibited from disclosing incidental findings to research participants.</w:t>
      </w:r>
      <w:r w:rsidR="00720429" w:rsidRPr="00577AD2">
        <w:rPr>
          <w:rStyle w:val="EndnoteReference"/>
          <w:rFonts w:ascii="Arial" w:hAnsi="Arial"/>
          <w:sz w:val="22"/>
        </w:rPr>
        <w:endnoteReference w:id="44"/>
      </w:r>
      <w:r w:rsidR="00720429" w:rsidRPr="00577AD2">
        <w:rPr>
          <w:rFonts w:ascii="Arial" w:hAnsi="Arial"/>
          <w:sz w:val="22"/>
        </w:rPr>
        <w:t xml:space="preserve"> </w:t>
      </w:r>
      <w:r w:rsidR="00565FA0">
        <w:rPr>
          <w:rFonts w:ascii="Arial" w:hAnsi="Arial"/>
          <w:sz w:val="22"/>
        </w:rPr>
        <w:t>Two</w:t>
      </w:r>
      <w:r w:rsidR="000D41B5">
        <w:rPr>
          <w:rFonts w:ascii="Arial" w:hAnsi="Arial"/>
          <w:sz w:val="22"/>
        </w:rPr>
        <w:t xml:space="preserve"> leading experts</w:t>
      </w:r>
      <w:r w:rsidR="00D30B13">
        <w:rPr>
          <w:rFonts w:ascii="Arial" w:hAnsi="Arial"/>
          <w:sz w:val="22"/>
        </w:rPr>
        <w:t xml:space="preserve">, </w:t>
      </w:r>
      <w:r w:rsidR="00565FA0">
        <w:rPr>
          <w:rFonts w:ascii="Arial" w:hAnsi="Arial"/>
          <w:sz w:val="22"/>
        </w:rPr>
        <w:t xml:space="preserve">Ellen Wright Clayton and </w:t>
      </w:r>
      <w:r w:rsidR="00D30B13">
        <w:rPr>
          <w:rFonts w:ascii="Arial" w:hAnsi="Arial"/>
          <w:sz w:val="22"/>
        </w:rPr>
        <w:t xml:space="preserve">Susan Wolf, </w:t>
      </w:r>
      <w:r w:rsidR="00565FA0">
        <w:rPr>
          <w:rFonts w:ascii="Arial" w:hAnsi="Arial"/>
          <w:sz w:val="22"/>
        </w:rPr>
        <w:t>members of the Working Group, will lead the research on this issue</w:t>
      </w:r>
      <w:r w:rsidR="00D30B13">
        <w:rPr>
          <w:rFonts w:ascii="Arial" w:hAnsi="Arial"/>
          <w:sz w:val="22"/>
        </w:rPr>
        <w:t xml:space="preserve">. </w:t>
      </w:r>
      <w:r w:rsidR="00720429" w:rsidRPr="00577AD2">
        <w:rPr>
          <w:rFonts w:ascii="Arial" w:hAnsi="Arial"/>
          <w:sz w:val="22"/>
        </w:rPr>
        <w:t>Several factors are frequently mentioned as important, including the strength of the genetic association, the severity of the condition, and the clinical actionability</w:t>
      </w:r>
      <w:r w:rsidR="00CF0BCE">
        <w:rPr>
          <w:rFonts w:ascii="Arial" w:hAnsi="Arial"/>
          <w:sz w:val="22"/>
        </w:rPr>
        <w:t xml:space="preserve"> of the finding</w:t>
      </w:r>
      <w:r w:rsidR="00720429" w:rsidRPr="00577AD2">
        <w:rPr>
          <w:rFonts w:ascii="Arial" w:hAnsi="Arial"/>
          <w:sz w:val="22"/>
        </w:rPr>
        <w:t>. It is diffic</w:t>
      </w:r>
      <w:r w:rsidR="002E48E5">
        <w:rPr>
          <w:rFonts w:ascii="Arial" w:hAnsi="Arial"/>
          <w:sz w:val="22"/>
        </w:rPr>
        <w:t>ult to imagine that unregulated</w:t>
      </w:r>
      <w:r w:rsidR="00720429" w:rsidRPr="00577AD2">
        <w:rPr>
          <w:rFonts w:ascii="Arial" w:hAnsi="Arial"/>
          <w:sz w:val="22"/>
        </w:rPr>
        <w:t xml:space="preserve"> m</w:t>
      </w:r>
      <w:r w:rsidR="002E48E5">
        <w:rPr>
          <w:rFonts w:ascii="Arial" w:hAnsi="Arial"/>
          <w:sz w:val="22"/>
        </w:rPr>
        <w:t>H</w:t>
      </w:r>
      <w:r w:rsidR="00720429" w:rsidRPr="00577AD2">
        <w:rPr>
          <w:rFonts w:ascii="Arial" w:hAnsi="Arial"/>
          <w:sz w:val="22"/>
        </w:rPr>
        <w:t>ealth research containing few of the characteristics of the researcher-participant relationship would have comparable ethical obligations to disclose incidental findings. Nevertheless, a consent document could be the basis of a duty to disclose s</w:t>
      </w:r>
      <w:r w:rsidR="001C44CC">
        <w:rPr>
          <w:rFonts w:ascii="Arial" w:hAnsi="Arial"/>
          <w:sz w:val="22"/>
        </w:rPr>
        <w:t>ome</w:t>
      </w:r>
      <w:r w:rsidR="00720429" w:rsidRPr="00577AD2">
        <w:rPr>
          <w:rFonts w:ascii="Arial" w:hAnsi="Arial"/>
          <w:sz w:val="22"/>
        </w:rPr>
        <w:t xml:space="preserve"> findings</w:t>
      </w:r>
      <w:r w:rsidR="00F91F79">
        <w:rPr>
          <w:rFonts w:ascii="Arial" w:hAnsi="Arial"/>
          <w:sz w:val="22"/>
        </w:rPr>
        <w:t xml:space="preserve"> and participants in all forms of research may increasingly expect such information</w:t>
      </w:r>
      <w:r w:rsidR="00720429" w:rsidRPr="00577AD2">
        <w:rPr>
          <w:rFonts w:ascii="Arial" w:hAnsi="Arial"/>
          <w:sz w:val="22"/>
        </w:rPr>
        <w:t>. Assuming t</w:t>
      </w:r>
      <w:r w:rsidR="00331D74">
        <w:rPr>
          <w:rFonts w:ascii="Arial" w:hAnsi="Arial"/>
          <w:sz w:val="22"/>
        </w:rPr>
        <w:t>hat</w:t>
      </w:r>
      <w:r w:rsidR="00720429" w:rsidRPr="00577AD2">
        <w:rPr>
          <w:rFonts w:ascii="Arial" w:hAnsi="Arial"/>
          <w:sz w:val="22"/>
        </w:rPr>
        <w:t xml:space="preserve"> </w:t>
      </w:r>
      <w:r w:rsidR="00331D74">
        <w:rPr>
          <w:rFonts w:ascii="Arial" w:hAnsi="Arial"/>
          <w:sz w:val="22"/>
        </w:rPr>
        <w:t xml:space="preserve">the </w:t>
      </w:r>
      <w:r w:rsidR="00720429" w:rsidRPr="00577AD2">
        <w:rPr>
          <w:rFonts w:ascii="Arial" w:hAnsi="Arial"/>
          <w:sz w:val="22"/>
        </w:rPr>
        <w:t xml:space="preserve">researchers wanted to </w:t>
      </w:r>
      <w:r w:rsidR="002E48E5">
        <w:rPr>
          <w:rFonts w:ascii="Arial" w:hAnsi="Arial"/>
          <w:sz w:val="22"/>
        </w:rPr>
        <w:t xml:space="preserve">offer to </w:t>
      </w:r>
      <w:r w:rsidR="00720429" w:rsidRPr="00577AD2">
        <w:rPr>
          <w:rFonts w:ascii="Arial" w:hAnsi="Arial"/>
          <w:sz w:val="22"/>
        </w:rPr>
        <w:t>disc</w:t>
      </w:r>
      <w:r w:rsidR="00331D74">
        <w:rPr>
          <w:rFonts w:ascii="Arial" w:hAnsi="Arial"/>
          <w:sz w:val="22"/>
        </w:rPr>
        <w:t>lose incidental findings and that</w:t>
      </w:r>
      <w:r w:rsidR="00720429" w:rsidRPr="00577AD2">
        <w:rPr>
          <w:rFonts w:ascii="Arial" w:hAnsi="Arial"/>
          <w:sz w:val="22"/>
        </w:rPr>
        <w:t xml:space="preserve"> </w:t>
      </w:r>
      <w:r w:rsidR="00331D74">
        <w:rPr>
          <w:rFonts w:ascii="Arial" w:hAnsi="Arial"/>
          <w:sz w:val="22"/>
        </w:rPr>
        <w:t xml:space="preserve">the </w:t>
      </w:r>
      <w:r w:rsidR="00720429" w:rsidRPr="00577AD2">
        <w:rPr>
          <w:rFonts w:ascii="Arial" w:hAnsi="Arial"/>
          <w:sz w:val="22"/>
        </w:rPr>
        <w:t xml:space="preserve">participants wanted to receive them, it is not clear how </w:t>
      </w:r>
      <w:r w:rsidR="00F55B20">
        <w:rPr>
          <w:rFonts w:ascii="Arial" w:hAnsi="Arial"/>
          <w:sz w:val="22"/>
        </w:rPr>
        <w:t xml:space="preserve">the </w:t>
      </w:r>
      <w:r w:rsidR="00720429" w:rsidRPr="00577AD2">
        <w:rPr>
          <w:rFonts w:ascii="Arial" w:hAnsi="Arial"/>
          <w:sz w:val="22"/>
        </w:rPr>
        <w:t xml:space="preserve">sharing </w:t>
      </w:r>
      <w:r w:rsidR="00F55B20">
        <w:rPr>
          <w:rFonts w:ascii="Arial" w:hAnsi="Arial"/>
          <w:sz w:val="22"/>
        </w:rPr>
        <w:t xml:space="preserve">of information </w:t>
      </w:r>
      <w:r w:rsidR="00720429" w:rsidRPr="00577AD2">
        <w:rPr>
          <w:rFonts w:ascii="Arial" w:hAnsi="Arial"/>
          <w:sz w:val="22"/>
        </w:rPr>
        <w:t xml:space="preserve">would </w:t>
      </w:r>
      <w:r w:rsidR="00703E80" w:rsidRPr="00577AD2">
        <w:rPr>
          <w:rFonts w:ascii="Arial" w:hAnsi="Arial"/>
          <w:sz w:val="22"/>
        </w:rPr>
        <w:t xml:space="preserve">or ought to </w:t>
      </w:r>
      <w:r w:rsidR="001C44CC">
        <w:rPr>
          <w:rFonts w:ascii="Arial" w:hAnsi="Arial"/>
          <w:sz w:val="22"/>
        </w:rPr>
        <w:t>proceed</w:t>
      </w:r>
      <w:r w:rsidR="00720429" w:rsidRPr="00577AD2">
        <w:rPr>
          <w:rFonts w:ascii="Arial" w:hAnsi="Arial"/>
          <w:sz w:val="22"/>
        </w:rPr>
        <w:t xml:space="preserve"> in the absence of an in-person relationship.</w:t>
      </w:r>
      <w:r w:rsidR="001A22E6">
        <w:rPr>
          <w:rFonts w:ascii="Arial" w:hAnsi="Arial"/>
          <w:sz w:val="22"/>
        </w:rPr>
        <w:t xml:space="preserve"> </w:t>
      </w:r>
      <w:r w:rsidR="00565FA0">
        <w:rPr>
          <w:rFonts w:ascii="Arial" w:hAnsi="Arial"/>
          <w:sz w:val="22"/>
        </w:rPr>
        <w:t>In Aim 2, the Working Group will</w:t>
      </w:r>
      <w:r w:rsidR="001A22E6">
        <w:rPr>
          <w:rFonts w:ascii="Arial" w:hAnsi="Arial"/>
          <w:sz w:val="22"/>
        </w:rPr>
        <w:t xml:space="preserve"> study the challenges surrounding incidental find</w:t>
      </w:r>
      <w:r w:rsidR="0042348C">
        <w:rPr>
          <w:rFonts w:ascii="Arial" w:hAnsi="Arial"/>
          <w:sz w:val="22"/>
        </w:rPr>
        <w:t xml:space="preserve">ings and the return of results. </w:t>
      </w:r>
    </w:p>
    <w:p w:rsidR="00E70FAC" w:rsidRDefault="00685E47" w:rsidP="00EC1F9B">
      <w:pPr>
        <w:spacing w:after="60" w:line="220" w:lineRule="exact"/>
        <w:jc w:val="both"/>
        <w:rPr>
          <w:rFonts w:ascii="Arial" w:hAnsi="Arial"/>
          <w:sz w:val="22"/>
        </w:rPr>
      </w:pPr>
      <w:r w:rsidRPr="00685E47">
        <w:rPr>
          <w:rFonts w:ascii="Arial" w:hAnsi="Arial"/>
          <w:sz w:val="22"/>
        </w:rPr>
        <w:t xml:space="preserve">8. </w:t>
      </w:r>
      <w:r w:rsidR="00720429" w:rsidRPr="00331D74">
        <w:rPr>
          <w:rFonts w:ascii="Arial" w:hAnsi="Arial"/>
          <w:i/>
          <w:sz w:val="22"/>
          <w:u w:val="single"/>
        </w:rPr>
        <w:t>Publication and data sharing</w:t>
      </w:r>
      <w:r w:rsidR="00720429" w:rsidRPr="00577AD2">
        <w:rPr>
          <w:rFonts w:ascii="Arial" w:hAnsi="Arial"/>
          <w:i/>
          <w:sz w:val="22"/>
        </w:rPr>
        <w:t xml:space="preserve">. </w:t>
      </w:r>
      <w:r w:rsidR="00882BD1">
        <w:rPr>
          <w:rFonts w:ascii="Arial" w:hAnsi="Arial"/>
          <w:sz w:val="22"/>
        </w:rPr>
        <w:t xml:space="preserve">Researchers contemplating </w:t>
      </w:r>
      <w:r w:rsidR="00720429" w:rsidRPr="00577AD2">
        <w:rPr>
          <w:rFonts w:ascii="Arial" w:hAnsi="Arial"/>
          <w:sz w:val="22"/>
        </w:rPr>
        <w:t>disclos</w:t>
      </w:r>
      <w:r w:rsidR="00882BD1">
        <w:rPr>
          <w:rFonts w:ascii="Arial" w:hAnsi="Arial"/>
          <w:sz w:val="22"/>
        </w:rPr>
        <w:t>ing</w:t>
      </w:r>
      <w:r w:rsidR="00720429" w:rsidRPr="00577AD2">
        <w:rPr>
          <w:rFonts w:ascii="Arial" w:hAnsi="Arial"/>
          <w:sz w:val="22"/>
        </w:rPr>
        <w:t xml:space="preserve"> the results of health research </w:t>
      </w:r>
      <w:r w:rsidR="00331D74">
        <w:rPr>
          <w:rFonts w:ascii="Arial" w:hAnsi="Arial"/>
          <w:sz w:val="22"/>
        </w:rPr>
        <w:t>may be</w:t>
      </w:r>
      <w:r w:rsidR="00720429" w:rsidRPr="00577AD2">
        <w:rPr>
          <w:rFonts w:ascii="Arial" w:hAnsi="Arial"/>
          <w:sz w:val="22"/>
        </w:rPr>
        <w:t xml:space="preserve"> influenced by two countervailing pressures. One pressure is the interest in being the first to announce the discovery of a particular finding</w:t>
      </w:r>
      <w:r w:rsidR="00882BD1">
        <w:rPr>
          <w:rFonts w:ascii="Arial" w:hAnsi="Arial"/>
          <w:sz w:val="22"/>
        </w:rPr>
        <w:t xml:space="preserve"> (</w:t>
      </w:r>
      <w:r w:rsidR="00274A6C">
        <w:rPr>
          <w:rFonts w:ascii="Arial" w:hAnsi="Arial"/>
          <w:sz w:val="22"/>
        </w:rPr>
        <w:t xml:space="preserve">sometimes derided as </w:t>
      </w:r>
      <w:r w:rsidR="00882BD1">
        <w:rPr>
          <w:rFonts w:ascii="Arial" w:hAnsi="Arial"/>
          <w:sz w:val="22"/>
        </w:rPr>
        <w:t>"publication by press conference")</w:t>
      </w:r>
      <w:r w:rsidR="00720429" w:rsidRPr="00577AD2">
        <w:rPr>
          <w:rFonts w:ascii="Arial" w:hAnsi="Arial"/>
          <w:sz w:val="22"/>
        </w:rPr>
        <w:t>. The opposite pressure is to suppress findings (</w:t>
      </w:r>
      <w:r w:rsidR="00274A6C">
        <w:rPr>
          <w:rFonts w:ascii="Arial" w:hAnsi="Arial"/>
          <w:sz w:val="22"/>
        </w:rPr>
        <w:t xml:space="preserve">sometimes criticized as </w:t>
      </w:r>
      <w:r w:rsidR="00720429" w:rsidRPr="00577AD2">
        <w:rPr>
          <w:rFonts w:ascii="Arial" w:hAnsi="Arial"/>
          <w:sz w:val="22"/>
        </w:rPr>
        <w:t xml:space="preserve">"hoarding"), which may be based on intellectual property considerations or the interest in being the sole researcher able to conduct follow-up </w:t>
      </w:r>
      <w:r w:rsidR="00720429" w:rsidRPr="00577AD2">
        <w:rPr>
          <w:rFonts w:ascii="Arial" w:hAnsi="Arial"/>
          <w:sz w:val="22"/>
        </w:rPr>
        <w:lastRenderedPageBreak/>
        <w:t>studies. Although the NIH has adopted detailed regulations</w:t>
      </w:r>
      <w:r w:rsidR="00FA4AF3" w:rsidRPr="00577AD2">
        <w:rPr>
          <w:rFonts w:ascii="Arial" w:hAnsi="Arial"/>
          <w:sz w:val="22"/>
        </w:rPr>
        <w:t xml:space="preserve"> requiring NIH-funded researchers to provide public access to data and publications,</w:t>
      </w:r>
      <w:r w:rsidR="00FA4AF3" w:rsidRPr="00577AD2">
        <w:rPr>
          <w:rStyle w:val="EndnoteReference"/>
          <w:rFonts w:ascii="Arial" w:hAnsi="Arial"/>
          <w:sz w:val="22"/>
        </w:rPr>
        <w:endnoteReference w:id="45"/>
      </w:r>
      <w:r w:rsidR="00720429" w:rsidRPr="00577AD2">
        <w:rPr>
          <w:rFonts w:ascii="Arial" w:hAnsi="Arial"/>
          <w:sz w:val="22"/>
        </w:rPr>
        <w:t xml:space="preserve"> </w:t>
      </w:r>
      <w:r w:rsidR="00FA4AF3" w:rsidRPr="00577AD2">
        <w:rPr>
          <w:rFonts w:ascii="Arial" w:hAnsi="Arial"/>
          <w:sz w:val="22"/>
        </w:rPr>
        <w:t>these rules do not apply to unregulated researchers.</w:t>
      </w:r>
      <w:r w:rsidR="00FA4AF3" w:rsidRPr="00577AD2">
        <w:rPr>
          <w:rStyle w:val="EndnoteReference"/>
          <w:rFonts w:ascii="Arial" w:hAnsi="Arial"/>
          <w:sz w:val="22"/>
        </w:rPr>
        <w:endnoteReference w:id="46"/>
      </w:r>
      <w:r w:rsidR="00720429" w:rsidRPr="00577AD2">
        <w:rPr>
          <w:rFonts w:ascii="Arial" w:hAnsi="Arial"/>
          <w:sz w:val="22"/>
        </w:rPr>
        <w:t xml:space="preserve"> </w:t>
      </w:r>
      <w:r w:rsidR="00565FA0">
        <w:rPr>
          <w:rFonts w:ascii="Arial" w:hAnsi="Arial"/>
          <w:sz w:val="22"/>
        </w:rPr>
        <w:t>In Aim 2, the Working Group</w:t>
      </w:r>
      <w:r w:rsidR="00C932D8">
        <w:rPr>
          <w:rFonts w:ascii="Arial" w:hAnsi="Arial"/>
          <w:sz w:val="22"/>
        </w:rPr>
        <w:t xml:space="preserve"> will </w:t>
      </w:r>
      <w:r w:rsidR="00565FA0" w:rsidRPr="00565FA0">
        <w:rPr>
          <w:rFonts w:ascii="Arial" w:hAnsi="Arial"/>
          <w:sz w:val="22"/>
        </w:rPr>
        <w:t>study publication and data sharing by unregulated researchers using mobile devices</w:t>
      </w:r>
      <w:r w:rsidR="00565FA0">
        <w:rPr>
          <w:rFonts w:ascii="Arial" w:hAnsi="Arial"/>
          <w:sz w:val="22"/>
        </w:rPr>
        <w:t xml:space="preserve"> and </w:t>
      </w:r>
      <w:r w:rsidR="00C932D8">
        <w:rPr>
          <w:rFonts w:ascii="Arial" w:hAnsi="Arial"/>
          <w:sz w:val="22"/>
        </w:rPr>
        <w:t>whethe</w:t>
      </w:r>
      <w:r w:rsidR="002E48E5">
        <w:rPr>
          <w:rFonts w:ascii="Arial" w:hAnsi="Arial"/>
          <w:sz w:val="22"/>
        </w:rPr>
        <w:t xml:space="preserve">r scientific journals should </w:t>
      </w:r>
      <w:r w:rsidR="00C932D8">
        <w:rPr>
          <w:rFonts w:ascii="Arial" w:hAnsi="Arial"/>
          <w:sz w:val="22"/>
        </w:rPr>
        <w:t>publish the findings of unregulated research.</w:t>
      </w:r>
      <w:r w:rsidR="00FA4AF3" w:rsidRPr="00577AD2">
        <w:rPr>
          <w:rFonts w:ascii="Arial" w:hAnsi="Arial"/>
          <w:sz w:val="22"/>
        </w:rPr>
        <w:t xml:space="preserve"> </w:t>
      </w:r>
    </w:p>
    <w:p w:rsidR="00E70FAC" w:rsidRDefault="00E70FAC" w:rsidP="004274B9">
      <w:pPr>
        <w:spacing w:before="120" w:after="60" w:line="220" w:lineRule="exact"/>
        <w:rPr>
          <w:rFonts w:ascii="Arial" w:hAnsi="Arial"/>
          <w:b/>
          <w:sz w:val="22"/>
        </w:rPr>
      </w:pPr>
      <w:r>
        <w:rPr>
          <w:rFonts w:ascii="Arial" w:hAnsi="Arial"/>
          <w:b/>
          <w:sz w:val="22"/>
        </w:rPr>
        <w:t>B. INNOVATION</w:t>
      </w:r>
    </w:p>
    <w:p w:rsidR="00E70FAC" w:rsidRDefault="0001344E" w:rsidP="00EC1F9B">
      <w:pPr>
        <w:spacing w:after="60" w:line="220" w:lineRule="exact"/>
        <w:jc w:val="both"/>
        <w:rPr>
          <w:rFonts w:ascii="Arial" w:hAnsi="Arial"/>
          <w:sz w:val="22"/>
        </w:rPr>
      </w:pPr>
      <w:r>
        <w:rPr>
          <w:rFonts w:ascii="Arial" w:hAnsi="Arial"/>
          <w:sz w:val="22"/>
        </w:rPr>
        <w:t xml:space="preserve">The proposed research is highly innovative. </w:t>
      </w:r>
      <w:r w:rsidR="0098037F">
        <w:rPr>
          <w:rFonts w:ascii="Arial" w:hAnsi="Arial"/>
          <w:sz w:val="22"/>
        </w:rPr>
        <w:t xml:space="preserve">A comprehensive analysis of the </w:t>
      </w:r>
      <w:r w:rsidR="00F55B20">
        <w:rPr>
          <w:rFonts w:ascii="Arial" w:hAnsi="Arial"/>
          <w:sz w:val="22"/>
        </w:rPr>
        <w:t>ELSI</w:t>
      </w:r>
      <w:r w:rsidR="0098037F">
        <w:rPr>
          <w:rFonts w:ascii="Arial" w:hAnsi="Arial"/>
          <w:sz w:val="22"/>
        </w:rPr>
        <w:t xml:space="preserve"> issues raised by u</w:t>
      </w:r>
      <w:r>
        <w:rPr>
          <w:rFonts w:ascii="Arial" w:hAnsi="Arial"/>
          <w:sz w:val="22"/>
        </w:rPr>
        <w:t xml:space="preserve">nregulated </w:t>
      </w:r>
      <w:r w:rsidR="002E48E5">
        <w:rPr>
          <w:rFonts w:ascii="Arial" w:hAnsi="Arial"/>
          <w:sz w:val="22"/>
        </w:rPr>
        <w:t>mH</w:t>
      </w:r>
      <w:r w:rsidR="00E7021D">
        <w:rPr>
          <w:rFonts w:ascii="Arial" w:hAnsi="Arial"/>
          <w:sz w:val="22"/>
        </w:rPr>
        <w:t xml:space="preserve">ealth </w:t>
      </w:r>
      <w:r>
        <w:rPr>
          <w:rFonts w:ascii="Arial" w:hAnsi="Arial"/>
          <w:sz w:val="22"/>
        </w:rPr>
        <w:t>research</w:t>
      </w:r>
      <w:r w:rsidR="00274A6C">
        <w:rPr>
          <w:rFonts w:ascii="Arial" w:hAnsi="Arial"/>
          <w:sz w:val="22"/>
        </w:rPr>
        <w:t xml:space="preserve"> is </w:t>
      </w:r>
      <w:r w:rsidR="0098037F">
        <w:rPr>
          <w:rFonts w:ascii="Arial" w:hAnsi="Arial"/>
          <w:sz w:val="22"/>
        </w:rPr>
        <w:t>timely</w:t>
      </w:r>
      <w:r w:rsidR="000D41B5">
        <w:rPr>
          <w:rFonts w:ascii="Arial" w:hAnsi="Arial"/>
          <w:sz w:val="22"/>
        </w:rPr>
        <w:t>,</w:t>
      </w:r>
      <w:r w:rsidR="0098037F">
        <w:rPr>
          <w:rFonts w:ascii="Arial" w:hAnsi="Arial"/>
          <w:sz w:val="22"/>
        </w:rPr>
        <w:t xml:space="preserve"> </w:t>
      </w:r>
      <w:r>
        <w:rPr>
          <w:rFonts w:ascii="Arial" w:hAnsi="Arial"/>
          <w:sz w:val="22"/>
        </w:rPr>
        <w:t>important</w:t>
      </w:r>
      <w:r w:rsidR="000D41B5">
        <w:rPr>
          <w:rFonts w:ascii="Arial" w:hAnsi="Arial"/>
          <w:sz w:val="22"/>
        </w:rPr>
        <w:t>, and unprecedented</w:t>
      </w:r>
      <w:r w:rsidR="0098037F">
        <w:rPr>
          <w:rFonts w:ascii="Arial" w:hAnsi="Arial"/>
          <w:sz w:val="22"/>
        </w:rPr>
        <w:t>. It is</w:t>
      </w:r>
      <w:r>
        <w:rPr>
          <w:rFonts w:ascii="Arial" w:hAnsi="Arial"/>
          <w:sz w:val="22"/>
        </w:rPr>
        <w:t xml:space="preserve"> closely relate</w:t>
      </w:r>
      <w:r w:rsidR="00E7021D">
        <w:rPr>
          <w:rFonts w:ascii="Arial" w:hAnsi="Arial"/>
          <w:sz w:val="22"/>
        </w:rPr>
        <w:t>d</w:t>
      </w:r>
      <w:r>
        <w:rPr>
          <w:rFonts w:ascii="Arial" w:hAnsi="Arial"/>
          <w:sz w:val="22"/>
        </w:rPr>
        <w:t xml:space="preserve"> to the Precision Medicine Initiative </w:t>
      </w:r>
      <w:r w:rsidR="00864CEA">
        <w:rPr>
          <w:rFonts w:ascii="Arial" w:hAnsi="Arial"/>
          <w:sz w:val="22"/>
        </w:rPr>
        <w:t xml:space="preserve">(PMI) </w:t>
      </w:r>
      <w:r>
        <w:rPr>
          <w:rFonts w:ascii="Arial" w:hAnsi="Arial"/>
          <w:sz w:val="22"/>
        </w:rPr>
        <w:t>and other research ac</w:t>
      </w:r>
      <w:r w:rsidR="004F73F6">
        <w:rPr>
          <w:rFonts w:ascii="Arial" w:hAnsi="Arial"/>
          <w:sz w:val="22"/>
        </w:rPr>
        <w:t>t</w:t>
      </w:r>
      <w:r w:rsidR="00C1430E">
        <w:rPr>
          <w:rFonts w:ascii="Arial" w:hAnsi="Arial"/>
          <w:sz w:val="22"/>
        </w:rPr>
        <w:t xml:space="preserve">ivities of the NIH. </w:t>
      </w:r>
      <w:r w:rsidR="00864CEA">
        <w:rPr>
          <w:rFonts w:ascii="Arial" w:hAnsi="Arial"/>
          <w:sz w:val="22"/>
        </w:rPr>
        <w:t>Indeed, one of the "use cases" of the PMI is "use of mobile (mHealth) technologies to correlate activity, physiologic measures and environmental exposures with health outcomes …."</w:t>
      </w:r>
      <w:r w:rsidR="00864CEA">
        <w:rPr>
          <w:rStyle w:val="EndnoteReference"/>
          <w:rFonts w:ascii="Arial" w:hAnsi="Arial"/>
          <w:sz w:val="22"/>
        </w:rPr>
        <w:endnoteReference w:id="47"/>
      </w:r>
      <w:r w:rsidR="00864CEA">
        <w:rPr>
          <w:rFonts w:ascii="Arial" w:hAnsi="Arial"/>
          <w:sz w:val="22"/>
        </w:rPr>
        <w:t xml:space="preserve"> </w:t>
      </w:r>
      <w:r w:rsidR="00C1430E">
        <w:rPr>
          <w:rFonts w:ascii="Arial" w:hAnsi="Arial"/>
          <w:sz w:val="22"/>
        </w:rPr>
        <w:t>Each of the</w:t>
      </w:r>
      <w:r>
        <w:rPr>
          <w:rFonts w:ascii="Arial" w:hAnsi="Arial"/>
          <w:sz w:val="22"/>
        </w:rPr>
        <w:t xml:space="preserve"> proposal's 3 aims consists of </w:t>
      </w:r>
      <w:r w:rsidR="00E7021D">
        <w:rPr>
          <w:rFonts w:ascii="Arial" w:hAnsi="Arial"/>
          <w:sz w:val="22"/>
        </w:rPr>
        <w:t xml:space="preserve">unique and </w:t>
      </w:r>
      <w:r>
        <w:rPr>
          <w:rFonts w:ascii="Arial" w:hAnsi="Arial"/>
          <w:sz w:val="22"/>
        </w:rPr>
        <w:t xml:space="preserve">innovative elements. Aim 1 </w:t>
      </w:r>
      <w:r w:rsidR="00BE07F6">
        <w:rPr>
          <w:rFonts w:ascii="Arial" w:hAnsi="Arial"/>
          <w:sz w:val="22"/>
        </w:rPr>
        <w:t xml:space="preserve">includes </w:t>
      </w:r>
      <w:r>
        <w:rPr>
          <w:rFonts w:ascii="Arial" w:hAnsi="Arial"/>
          <w:sz w:val="22"/>
        </w:rPr>
        <w:t xml:space="preserve">the first </w:t>
      </w:r>
      <w:r w:rsidR="00BB7D74">
        <w:rPr>
          <w:rFonts w:ascii="Arial" w:hAnsi="Arial"/>
          <w:sz w:val="22"/>
        </w:rPr>
        <w:t>detailed</w:t>
      </w:r>
      <w:r>
        <w:rPr>
          <w:rFonts w:ascii="Arial" w:hAnsi="Arial"/>
          <w:sz w:val="22"/>
        </w:rPr>
        <w:t xml:space="preserve"> interview study of thought leaders in </w:t>
      </w:r>
      <w:r w:rsidR="002E48E5">
        <w:rPr>
          <w:rFonts w:ascii="Arial" w:hAnsi="Arial"/>
          <w:sz w:val="22"/>
        </w:rPr>
        <w:t>mH</w:t>
      </w:r>
      <w:r w:rsidR="005864B0">
        <w:rPr>
          <w:rFonts w:ascii="Arial" w:hAnsi="Arial"/>
          <w:sz w:val="22"/>
        </w:rPr>
        <w:t>ealth research,</w:t>
      </w:r>
      <w:r w:rsidR="00BE07F6">
        <w:rPr>
          <w:rFonts w:ascii="Arial" w:hAnsi="Arial"/>
          <w:sz w:val="22"/>
        </w:rPr>
        <w:t xml:space="preserve"> </w:t>
      </w:r>
      <w:r>
        <w:rPr>
          <w:rFonts w:ascii="Arial" w:hAnsi="Arial"/>
          <w:sz w:val="22"/>
        </w:rPr>
        <w:t xml:space="preserve">including citizen scientists, independent researchers, patient-directed researchers, </w:t>
      </w:r>
      <w:r w:rsidR="002E48E5">
        <w:rPr>
          <w:rFonts w:ascii="Arial" w:hAnsi="Arial"/>
          <w:sz w:val="22"/>
        </w:rPr>
        <w:t>health</w:t>
      </w:r>
      <w:r>
        <w:rPr>
          <w:rFonts w:ascii="Arial" w:hAnsi="Arial"/>
          <w:sz w:val="22"/>
        </w:rPr>
        <w:t xml:space="preserve"> app developers</w:t>
      </w:r>
      <w:r w:rsidR="0094479A">
        <w:rPr>
          <w:rFonts w:ascii="Arial" w:hAnsi="Arial"/>
          <w:sz w:val="22"/>
        </w:rPr>
        <w:t xml:space="preserve">, patient advocates, IRB </w:t>
      </w:r>
      <w:r w:rsidR="00F91F79">
        <w:rPr>
          <w:rFonts w:ascii="Arial" w:hAnsi="Arial"/>
          <w:sz w:val="22"/>
        </w:rPr>
        <w:t>officials</w:t>
      </w:r>
      <w:r w:rsidR="0094479A">
        <w:rPr>
          <w:rFonts w:ascii="Arial" w:hAnsi="Arial"/>
          <w:sz w:val="22"/>
        </w:rPr>
        <w:t>, and policy makers</w:t>
      </w:r>
      <w:r>
        <w:rPr>
          <w:rFonts w:ascii="Arial" w:hAnsi="Arial"/>
          <w:sz w:val="22"/>
        </w:rPr>
        <w:t xml:space="preserve">. Findings and insights from these interviews will </w:t>
      </w:r>
      <w:r w:rsidR="00274A6C">
        <w:rPr>
          <w:rFonts w:ascii="Arial" w:hAnsi="Arial"/>
          <w:sz w:val="22"/>
        </w:rPr>
        <w:t>help guide</w:t>
      </w:r>
      <w:r>
        <w:rPr>
          <w:rFonts w:ascii="Arial" w:hAnsi="Arial"/>
          <w:sz w:val="22"/>
        </w:rPr>
        <w:t xml:space="preserve"> </w:t>
      </w:r>
      <w:r w:rsidR="00E7021D">
        <w:rPr>
          <w:rFonts w:ascii="Arial" w:hAnsi="Arial"/>
          <w:sz w:val="22"/>
        </w:rPr>
        <w:t xml:space="preserve">Aim 2, </w:t>
      </w:r>
      <w:r w:rsidR="004D5B35">
        <w:rPr>
          <w:rFonts w:ascii="Arial" w:hAnsi="Arial"/>
          <w:sz w:val="22"/>
        </w:rPr>
        <w:t xml:space="preserve">in which </w:t>
      </w:r>
      <w:r w:rsidR="00BB7D74">
        <w:rPr>
          <w:rFonts w:ascii="Arial" w:hAnsi="Arial"/>
          <w:sz w:val="22"/>
        </w:rPr>
        <w:t>a</w:t>
      </w:r>
      <w:r w:rsidR="00565FA0">
        <w:rPr>
          <w:rFonts w:ascii="Arial" w:hAnsi="Arial"/>
          <w:sz w:val="22"/>
        </w:rPr>
        <w:t xml:space="preserve"> Working Group </w:t>
      </w:r>
      <w:r w:rsidR="004D5B35">
        <w:rPr>
          <w:rFonts w:ascii="Arial" w:hAnsi="Arial"/>
          <w:sz w:val="22"/>
        </w:rPr>
        <w:t>of l</w:t>
      </w:r>
      <w:r>
        <w:rPr>
          <w:rFonts w:ascii="Arial" w:hAnsi="Arial"/>
          <w:sz w:val="22"/>
        </w:rPr>
        <w:t xml:space="preserve">eading scholars and other experts in diverse fields, including bioethics, law, </w:t>
      </w:r>
      <w:r w:rsidR="00E7021D">
        <w:rPr>
          <w:rFonts w:ascii="Arial" w:hAnsi="Arial"/>
          <w:sz w:val="22"/>
        </w:rPr>
        <w:t xml:space="preserve">medicine, biological and </w:t>
      </w:r>
      <w:r>
        <w:rPr>
          <w:rFonts w:ascii="Arial" w:hAnsi="Arial"/>
          <w:sz w:val="22"/>
        </w:rPr>
        <w:t>social sciences, and research oversight, will be joined by</w:t>
      </w:r>
      <w:r w:rsidR="00E7021D">
        <w:rPr>
          <w:rFonts w:ascii="Arial" w:hAnsi="Arial"/>
          <w:sz w:val="22"/>
        </w:rPr>
        <w:t xml:space="preserve"> patient advocates, technology developers, and health policy experts</w:t>
      </w:r>
      <w:r w:rsidR="004D5B35">
        <w:rPr>
          <w:rFonts w:ascii="Arial" w:hAnsi="Arial"/>
          <w:sz w:val="22"/>
        </w:rPr>
        <w:t>.</w:t>
      </w:r>
      <w:r w:rsidR="00E7021D">
        <w:rPr>
          <w:rFonts w:ascii="Arial" w:hAnsi="Arial"/>
          <w:sz w:val="22"/>
        </w:rPr>
        <w:t xml:space="preserve"> </w:t>
      </w:r>
      <w:r w:rsidR="000D41B5">
        <w:rPr>
          <w:rFonts w:ascii="Arial" w:hAnsi="Arial"/>
          <w:sz w:val="22"/>
        </w:rPr>
        <w:t xml:space="preserve">The use of such a diverse group for structured consensus-development is highly innovative. </w:t>
      </w:r>
      <w:r w:rsidR="004D5B35">
        <w:rPr>
          <w:rFonts w:ascii="Arial" w:hAnsi="Arial"/>
          <w:sz w:val="22"/>
        </w:rPr>
        <w:t>The Working Group</w:t>
      </w:r>
      <w:r w:rsidR="00BE07F6">
        <w:rPr>
          <w:rFonts w:ascii="Arial" w:hAnsi="Arial"/>
          <w:sz w:val="22"/>
        </w:rPr>
        <w:t xml:space="preserve"> will meet 4 times </w:t>
      </w:r>
      <w:r w:rsidR="00F55B20">
        <w:rPr>
          <w:rFonts w:ascii="Arial" w:hAnsi="Arial"/>
          <w:sz w:val="22"/>
        </w:rPr>
        <w:t>as part of the overall research and</w:t>
      </w:r>
      <w:r w:rsidR="00E7021D">
        <w:rPr>
          <w:rFonts w:ascii="Arial" w:hAnsi="Arial"/>
          <w:sz w:val="22"/>
        </w:rPr>
        <w:t xml:space="preserve"> consensus-</w:t>
      </w:r>
      <w:r w:rsidR="00F55B20">
        <w:rPr>
          <w:rFonts w:ascii="Arial" w:hAnsi="Arial"/>
          <w:sz w:val="22"/>
        </w:rPr>
        <w:t>development</w:t>
      </w:r>
      <w:r w:rsidR="00E7021D">
        <w:rPr>
          <w:rFonts w:ascii="Arial" w:hAnsi="Arial"/>
          <w:sz w:val="22"/>
        </w:rPr>
        <w:t xml:space="preserve"> process. The goal is, if possibl</w:t>
      </w:r>
      <w:r w:rsidR="004D5B35">
        <w:rPr>
          <w:rFonts w:ascii="Arial" w:hAnsi="Arial"/>
          <w:sz w:val="22"/>
        </w:rPr>
        <w:t xml:space="preserve">e, to reach consensus on a </w:t>
      </w:r>
      <w:r w:rsidR="00E7021D">
        <w:rPr>
          <w:rFonts w:ascii="Arial" w:hAnsi="Arial"/>
          <w:sz w:val="22"/>
        </w:rPr>
        <w:t xml:space="preserve">range of fundamental issues and, where </w:t>
      </w:r>
      <w:r w:rsidR="004D5B35">
        <w:rPr>
          <w:rFonts w:ascii="Arial" w:hAnsi="Arial"/>
          <w:sz w:val="22"/>
        </w:rPr>
        <w:t>appropriate</w:t>
      </w:r>
      <w:r w:rsidR="00E7021D">
        <w:rPr>
          <w:rFonts w:ascii="Arial" w:hAnsi="Arial"/>
          <w:sz w:val="22"/>
        </w:rPr>
        <w:t>, to identify and articulate minority positions.</w:t>
      </w:r>
      <w:r w:rsidR="00337941">
        <w:rPr>
          <w:rFonts w:ascii="Arial" w:hAnsi="Arial"/>
          <w:sz w:val="22"/>
        </w:rPr>
        <w:t xml:space="preserve"> Aim 3 consists of </w:t>
      </w:r>
      <w:r w:rsidR="00C1430E">
        <w:rPr>
          <w:rFonts w:ascii="Arial" w:hAnsi="Arial"/>
          <w:sz w:val="22"/>
        </w:rPr>
        <w:t>educational</w:t>
      </w:r>
      <w:r w:rsidR="00337941">
        <w:rPr>
          <w:rFonts w:ascii="Arial" w:hAnsi="Arial"/>
          <w:sz w:val="22"/>
        </w:rPr>
        <w:t xml:space="preserve"> programs and </w:t>
      </w:r>
      <w:r w:rsidR="00C1430E">
        <w:rPr>
          <w:rFonts w:ascii="Arial" w:hAnsi="Arial"/>
          <w:sz w:val="22"/>
        </w:rPr>
        <w:t xml:space="preserve">translation </w:t>
      </w:r>
      <w:r w:rsidR="00337941">
        <w:rPr>
          <w:rFonts w:ascii="Arial" w:hAnsi="Arial"/>
          <w:sz w:val="22"/>
        </w:rPr>
        <w:t xml:space="preserve">of </w:t>
      </w:r>
      <w:r w:rsidR="004F73F6">
        <w:rPr>
          <w:rFonts w:ascii="Arial" w:hAnsi="Arial"/>
          <w:sz w:val="22"/>
        </w:rPr>
        <w:t xml:space="preserve">the study's </w:t>
      </w:r>
      <w:r w:rsidR="00C1430E">
        <w:rPr>
          <w:rFonts w:ascii="Arial" w:hAnsi="Arial"/>
          <w:sz w:val="22"/>
        </w:rPr>
        <w:t>analyses and recommendations</w:t>
      </w:r>
      <w:r w:rsidR="00337941">
        <w:rPr>
          <w:rFonts w:ascii="Arial" w:hAnsi="Arial"/>
          <w:sz w:val="22"/>
        </w:rPr>
        <w:t xml:space="preserve">. Because of the central role of app developers, we will conduct </w:t>
      </w:r>
      <w:r w:rsidR="00BE07F6">
        <w:rPr>
          <w:rFonts w:ascii="Arial" w:hAnsi="Arial"/>
          <w:sz w:val="22"/>
        </w:rPr>
        <w:t>2</w:t>
      </w:r>
      <w:r w:rsidR="00337941">
        <w:rPr>
          <w:rFonts w:ascii="Arial" w:hAnsi="Arial"/>
          <w:sz w:val="22"/>
        </w:rPr>
        <w:t xml:space="preserve"> in-person research ethics train</w:t>
      </w:r>
      <w:r w:rsidR="00BE07F6">
        <w:rPr>
          <w:rFonts w:ascii="Arial" w:hAnsi="Arial"/>
          <w:sz w:val="22"/>
        </w:rPr>
        <w:t xml:space="preserve">ing sessions for app developers; we will </w:t>
      </w:r>
      <w:r w:rsidR="00337941">
        <w:rPr>
          <w:rFonts w:ascii="Arial" w:hAnsi="Arial"/>
          <w:sz w:val="22"/>
        </w:rPr>
        <w:t>a</w:t>
      </w:r>
      <w:r w:rsidR="00BE07F6">
        <w:rPr>
          <w:rFonts w:ascii="Arial" w:hAnsi="Arial"/>
          <w:sz w:val="22"/>
        </w:rPr>
        <w:t>l</w:t>
      </w:r>
      <w:r w:rsidR="00337941">
        <w:rPr>
          <w:rFonts w:ascii="Arial" w:hAnsi="Arial"/>
          <w:sz w:val="22"/>
        </w:rPr>
        <w:t>s</w:t>
      </w:r>
      <w:r w:rsidR="00BE07F6">
        <w:rPr>
          <w:rFonts w:ascii="Arial" w:hAnsi="Arial"/>
          <w:sz w:val="22"/>
        </w:rPr>
        <w:t>o</w:t>
      </w:r>
      <w:r w:rsidR="00337941">
        <w:rPr>
          <w:rFonts w:ascii="Arial" w:hAnsi="Arial"/>
          <w:sz w:val="22"/>
        </w:rPr>
        <w:t xml:space="preserve"> captur</w:t>
      </w:r>
      <w:r w:rsidR="00BE07F6">
        <w:rPr>
          <w:rFonts w:ascii="Arial" w:hAnsi="Arial"/>
          <w:sz w:val="22"/>
        </w:rPr>
        <w:t>e these sessions o</w:t>
      </w:r>
      <w:r w:rsidR="00337941">
        <w:rPr>
          <w:rFonts w:ascii="Arial" w:hAnsi="Arial"/>
          <w:sz w:val="22"/>
        </w:rPr>
        <w:t xml:space="preserve">n videos that will be </w:t>
      </w:r>
      <w:r w:rsidR="00274A6C">
        <w:rPr>
          <w:rFonts w:ascii="Arial" w:hAnsi="Arial"/>
          <w:sz w:val="22"/>
        </w:rPr>
        <w:t>posted</w:t>
      </w:r>
      <w:r w:rsidR="00337941">
        <w:rPr>
          <w:rFonts w:ascii="Arial" w:hAnsi="Arial"/>
          <w:sz w:val="22"/>
        </w:rPr>
        <w:t xml:space="preserve"> on the Internet. </w:t>
      </w:r>
      <w:r w:rsidR="000D41B5">
        <w:rPr>
          <w:rFonts w:ascii="Arial" w:hAnsi="Arial"/>
          <w:sz w:val="22"/>
        </w:rPr>
        <w:t xml:space="preserve">We believe this will be the first time research ethics education has focused on app developers. </w:t>
      </w:r>
      <w:r w:rsidR="00337941">
        <w:rPr>
          <w:rFonts w:ascii="Arial" w:hAnsi="Arial"/>
          <w:sz w:val="22"/>
        </w:rPr>
        <w:t>Another innovative element of Aim 3 is a policy briefing and conference for key stakeholders and public officials</w:t>
      </w:r>
      <w:r w:rsidR="00C1430E">
        <w:rPr>
          <w:rFonts w:ascii="Arial" w:hAnsi="Arial"/>
          <w:sz w:val="22"/>
        </w:rPr>
        <w:t>, also including the creation of online videos</w:t>
      </w:r>
      <w:r w:rsidR="00337941">
        <w:rPr>
          <w:rFonts w:ascii="Arial" w:hAnsi="Arial"/>
          <w:sz w:val="22"/>
        </w:rPr>
        <w:t>. Th</w:t>
      </w:r>
      <w:r w:rsidR="004F73F6">
        <w:rPr>
          <w:rFonts w:ascii="Arial" w:hAnsi="Arial"/>
          <w:sz w:val="22"/>
        </w:rPr>
        <w:t>e</w:t>
      </w:r>
      <w:r w:rsidR="00337941">
        <w:rPr>
          <w:rFonts w:ascii="Arial" w:hAnsi="Arial"/>
          <w:sz w:val="22"/>
        </w:rPr>
        <w:t>s</w:t>
      </w:r>
      <w:r w:rsidR="004F73F6">
        <w:rPr>
          <w:rFonts w:ascii="Arial" w:hAnsi="Arial"/>
          <w:sz w:val="22"/>
        </w:rPr>
        <w:t>e</w:t>
      </w:r>
      <w:r w:rsidR="00337941">
        <w:rPr>
          <w:rFonts w:ascii="Arial" w:hAnsi="Arial"/>
          <w:sz w:val="22"/>
        </w:rPr>
        <w:t xml:space="preserve"> </w:t>
      </w:r>
      <w:r w:rsidR="004F73F6">
        <w:rPr>
          <w:rFonts w:ascii="Arial" w:hAnsi="Arial"/>
          <w:sz w:val="22"/>
        </w:rPr>
        <w:t xml:space="preserve">distinctive research activities make this proposal </w:t>
      </w:r>
      <w:r w:rsidR="00337941">
        <w:rPr>
          <w:rFonts w:ascii="Arial" w:hAnsi="Arial"/>
          <w:sz w:val="22"/>
        </w:rPr>
        <w:t xml:space="preserve">innovative </w:t>
      </w:r>
      <w:r w:rsidR="00BB7D74">
        <w:rPr>
          <w:rFonts w:ascii="Arial" w:hAnsi="Arial"/>
          <w:sz w:val="22"/>
        </w:rPr>
        <w:t xml:space="preserve">and important </w:t>
      </w:r>
      <w:r w:rsidR="00337941">
        <w:rPr>
          <w:rFonts w:ascii="Arial" w:hAnsi="Arial"/>
          <w:sz w:val="22"/>
        </w:rPr>
        <w:t xml:space="preserve">from both a conceptual and </w:t>
      </w:r>
      <w:r w:rsidR="00BB7D74">
        <w:rPr>
          <w:rFonts w:ascii="Arial" w:hAnsi="Arial"/>
          <w:sz w:val="22"/>
        </w:rPr>
        <w:t>practical</w:t>
      </w:r>
      <w:r w:rsidR="00337941">
        <w:rPr>
          <w:rFonts w:ascii="Arial" w:hAnsi="Arial"/>
          <w:sz w:val="22"/>
        </w:rPr>
        <w:t xml:space="preserve"> standpoint.</w:t>
      </w:r>
    </w:p>
    <w:p w:rsidR="00E70FAC" w:rsidRDefault="00E70FAC" w:rsidP="004274B9">
      <w:pPr>
        <w:spacing w:before="120" w:after="60" w:line="220" w:lineRule="exact"/>
        <w:rPr>
          <w:rFonts w:ascii="Arial" w:hAnsi="Arial"/>
          <w:b/>
          <w:sz w:val="22"/>
        </w:rPr>
      </w:pPr>
      <w:r>
        <w:rPr>
          <w:rFonts w:ascii="Arial" w:hAnsi="Arial"/>
          <w:b/>
          <w:sz w:val="22"/>
        </w:rPr>
        <w:t>C. APPROACH</w:t>
      </w:r>
    </w:p>
    <w:p w:rsidR="00313AAD" w:rsidRDefault="00E70FAC" w:rsidP="00EC1F9B">
      <w:pPr>
        <w:spacing w:after="60" w:line="220" w:lineRule="exact"/>
        <w:jc w:val="both"/>
        <w:rPr>
          <w:rFonts w:ascii="Arial" w:hAnsi="Arial"/>
          <w:sz w:val="22"/>
        </w:rPr>
      </w:pPr>
      <w:r>
        <w:rPr>
          <w:rFonts w:ascii="Arial" w:hAnsi="Arial"/>
          <w:sz w:val="22"/>
        </w:rPr>
        <w:t xml:space="preserve">The proposed study combines a variety of research methodologies to conduct an in-depth assessment of the issues and implications of unregulated </w:t>
      </w:r>
      <w:r w:rsidR="002E48E5">
        <w:rPr>
          <w:rFonts w:ascii="Arial" w:hAnsi="Arial"/>
          <w:sz w:val="22"/>
        </w:rPr>
        <w:t>mH</w:t>
      </w:r>
      <w:r w:rsidR="007C6605">
        <w:rPr>
          <w:rFonts w:ascii="Arial" w:hAnsi="Arial"/>
          <w:sz w:val="22"/>
        </w:rPr>
        <w:t xml:space="preserve">ealth </w:t>
      </w:r>
      <w:r>
        <w:rPr>
          <w:rFonts w:ascii="Arial" w:hAnsi="Arial"/>
          <w:sz w:val="22"/>
        </w:rPr>
        <w:t>research.</w:t>
      </w:r>
    </w:p>
    <w:p w:rsidR="00313AAD" w:rsidRPr="00313AAD" w:rsidRDefault="00313AAD" w:rsidP="00423BA8">
      <w:pPr>
        <w:spacing w:after="120" w:line="240" w:lineRule="exact"/>
        <w:jc w:val="both"/>
        <w:rPr>
          <w:rFonts w:ascii="Arial" w:hAnsi="Arial"/>
          <w:sz w:val="22"/>
        </w:rPr>
      </w:pPr>
      <w:r w:rsidRPr="000B33B9">
        <w:rPr>
          <w:rFonts w:ascii="Arial" w:hAnsi="Arial" w:cs="Arial"/>
          <w:b/>
          <w:sz w:val="22"/>
        </w:rPr>
        <w:t xml:space="preserve">Aim 1: </w:t>
      </w:r>
      <w:r>
        <w:rPr>
          <w:rFonts w:ascii="Arial" w:hAnsi="Arial" w:cs="Arial"/>
          <w:b/>
          <w:sz w:val="22"/>
        </w:rPr>
        <w:t>Conduct in-depth qualitative interviews to elicit thought leaders’ perspectives on risks and appropriate protections for participants in unregulated mHealth research.</w:t>
      </w:r>
    </w:p>
    <w:p w:rsidR="00313AAD" w:rsidRPr="00036E52" w:rsidRDefault="00313AAD" w:rsidP="00EC1F9B">
      <w:pPr>
        <w:spacing w:after="60" w:line="220" w:lineRule="exact"/>
        <w:jc w:val="both"/>
        <w:rPr>
          <w:rFonts w:ascii="Arial" w:hAnsi="Arial" w:cs="Arial"/>
          <w:sz w:val="22"/>
        </w:rPr>
      </w:pPr>
      <w:r w:rsidRPr="00036E52">
        <w:rPr>
          <w:rFonts w:ascii="Arial" w:hAnsi="Arial" w:cs="Arial"/>
          <w:sz w:val="22"/>
        </w:rPr>
        <w:t xml:space="preserve">The objective of Aim 1 is to </w:t>
      </w:r>
      <w:r>
        <w:rPr>
          <w:rFonts w:ascii="Arial" w:hAnsi="Arial" w:cs="Arial"/>
          <w:sz w:val="22"/>
        </w:rPr>
        <w:t>elicit</w:t>
      </w:r>
      <w:r w:rsidRPr="00036E52">
        <w:rPr>
          <w:rFonts w:ascii="Arial" w:hAnsi="Arial" w:cs="Arial"/>
          <w:sz w:val="22"/>
        </w:rPr>
        <w:t xml:space="preserve"> thought leader</w:t>
      </w:r>
      <w:r>
        <w:rPr>
          <w:rFonts w:ascii="Arial" w:hAnsi="Arial" w:cs="Arial"/>
          <w:sz w:val="22"/>
        </w:rPr>
        <w:t xml:space="preserve"> views</w:t>
      </w:r>
      <w:r w:rsidRPr="00036E52">
        <w:rPr>
          <w:rFonts w:ascii="Arial" w:hAnsi="Arial" w:cs="Arial"/>
          <w:sz w:val="22"/>
        </w:rPr>
        <w:t xml:space="preserve"> </w:t>
      </w:r>
      <w:r>
        <w:rPr>
          <w:rFonts w:ascii="Arial" w:hAnsi="Arial" w:cs="Arial"/>
          <w:sz w:val="22"/>
        </w:rPr>
        <w:t>on</w:t>
      </w:r>
      <w:r w:rsidRPr="00036E52">
        <w:rPr>
          <w:rFonts w:ascii="Arial" w:hAnsi="Arial" w:cs="Arial"/>
          <w:sz w:val="22"/>
        </w:rPr>
        <w:t xml:space="preserve"> </w:t>
      </w:r>
      <w:r w:rsidR="00D30347">
        <w:rPr>
          <w:rFonts w:ascii="Arial" w:hAnsi="Arial" w:cs="Arial"/>
          <w:sz w:val="22"/>
        </w:rPr>
        <w:t xml:space="preserve">the protection of </w:t>
      </w:r>
      <w:r>
        <w:rPr>
          <w:rFonts w:ascii="Arial" w:hAnsi="Arial" w:cs="Arial"/>
          <w:sz w:val="22"/>
        </w:rPr>
        <w:t xml:space="preserve">human subjects in the rapidly evolving environment of mHealth research. </w:t>
      </w:r>
      <w:r w:rsidRPr="00036E52">
        <w:rPr>
          <w:rFonts w:ascii="Arial" w:hAnsi="Arial" w:cs="Arial"/>
          <w:sz w:val="22"/>
        </w:rPr>
        <w:t xml:space="preserve">To attain this objective, we will conduct in-depth interviews with prominent individuals from </w:t>
      </w:r>
      <w:r>
        <w:rPr>
          <w:rFonts w:ascii="Arial" w:hAnsi="Arial" w:cs="Arial"/>
          <w:sz w:val="22"/>
        </w:rPr>
        <w:t xml:space="preserve">key stakeholder </w:t>
      </w:r>
      <w:r w:rsidRPr="00036E52">
        <w:rPr>
          <w:rFonts w:ascii="Arial" w:hAnsi="Arial" w:cs="Arial"/>
          <w:sz w:val="22"/>
        </w:rPr>
        <w:t xml:space="preserve">groups </w:t>
      </w:r>
      <w:r>
        <w:rPr>
          <w:rFonts w:ascii="Arial" w:hAnsi="Arial" w:cs="Arial"/>
          <w:sz w:val="22"/>
        </w:rPr>
        <w:t xml:space="preserve">to gather their input on topics such as </w:t>
      </w:r>
      <w:r w:rsidRPr="00036E52">
        <w:rPr>
          <w:rFonts w:ascii="Arial" w:hAnsi="Arial" w:cs="Arial"/>
          <w:sz w:val="22"/>
        </w:rPr>
        <w:t>risks</w:t>
      </w:r>
      <w:r>
        <w:rPr>
          <w:rFonts w:ascii="Arial" w:hAnsi="Arial" w:cs="Arial"/>
          <w:sz w:val="22"/>
        </w:rPr>
        <w:t xml:space="preserve"> and benefits in mHealth research, and appropriate protections in unregulated situations</w:t>
      </w:r>
      <w:r w:rsidRPr="00036E52">
        <w:rPr>
          <w:rFonts w:ascii="Arial" w:hAnsi="Arial" w:cs="Arial"/>
          <w:sz w:val="22"/>
        </w:rPr>
        <w:t>. The results of Aim 1 will be the subject of at least one manuscript</w:t>
      </w:r>
      <w:r w:rsidR="00BB7D74">
        <w:rPr>
          <w:rFonts w:ascii="Arial" w:hAnsi="Arial" w:cs="Arial"/>
          <w:sz w:val="22"/>
        </w:rPr>
        <w:t>,</w:t>
      </w:r>
      <w:r>
        <w:rPr>
          <w:rFonts w:ascii="Arial" w:hAnsi="Arial" w:cs="Arial"/>
          <w:sz w:val="22"/>
        </w:rPr>
        <w:t xml:space="preserve"> </w:t>
      </w:r>
      <w:r w:rsidRPr="00036E52">
        <w:rPr>
          <w:rFonts w:ascii="Arial" w:hAnsi="Arial" w:cs="Arial"/>
          <w:sz w:val="22"/>
        </w:rPr>
        <w:t xml:space="preserve">will </w:t>
      </w:r>
      <w:r>
        <w:rPr>
          <w:rFonts w:ascii="Arial" w:hAnsi="Arial" w:cs="Arial"/>
          <w:sz w:val="22"/>
        </w:rPr>
        <w:t xml:space="preserve">provide expert evidence for </w:t>
      </w:r>
      <w:r w:rsidRPr="00036E52">
        <w:rPr>
          <w:rFonts w:ascii="Arial" w:hAnsi="Arial" w:cs="Arial"/>
          <w:sz w:val="22"/>
        </w:rPr>
        <w:t>our Aim 2</w:t>
      </w:r>
      <w:r>
        <w:rPr>
          <w:rFonts w:ascii="Arial" w:hAnsi="Arial" w:cs="Arial"/>
          <w:sz w:val="22"/>
        </w:rPr>
        <w:t xml:space="preserve"> analyses and consensus process</w:t>
      </w:r>
      <w:r w:rsidR="00BB7D74">
        <w:rPr>
          <w:rFonts w:ascii="Arial" w:hAnsi="Arial" w:cs="Arial"/>
          <w:sz w:val="22"/>
        </w:rPr>
        <w:t>,</w:t>
      </w:r>
      <w:r>
        <w:rPr>
          <w:rFonts w:ascii="Arial" w:hAnsi="Arial" w:cs="Arial"/>
          <w:sz w:val="22"/>
        </w:rPr>
        <w:t xml:space="preserve"> and will directly inform our Aim 3 educational and translational efforts</w:t>
      </w:r>
      <w:r w:rsidRPr="00036E52">
        <w:rPr>
          <w:rFonts w:ascii="Arial" w:hAnsi="Arial" w:cs="Arial"/>
          <w:sz w:val="22"/>
        </w:rPr>
        <w:t>.</w:t>
      </w:r>
    </w:p>
    <w:p w:rsidR="00313AAD" w:rsidRDefault="00313AAD" w:rsidP="00EC1F9B">
      <w:pPr>
        <w:spacing w:after="60" w:line="220" w:lineRule="exact"/>
        <w:jc w:val="both"/>
        <w:rPr>
          <w:rFonts w:ascii="Arial" w:hAnsi="Arial" w:cs="Arial"/>
          <w:sz w:val="22"/>
        </w:rPr>
      </w:pPr>
      <w:r w:rsidRPr="002E48E5">
        <w:rPr>
          <w:rFonts w:ascii="Arial" w:hAnsi="Arial" w:cs="Arial"/>
          <w:sz w:val="22"/>
        </w:rPr>
        <w:t xml:space="preserve">1. </w:t>
      </w:r>
      <w:r w:rsidR="00563547" w:rsidRPr="00563547">
        <w:rPr>
          <w:rFonts w:ascii="Arial" w:hAnsi="Arial" w:cs="Arial"/>
          <w:i/>
          <w:sz w:val="22"/>
          <w:u w:val="single"/>
        </w:rPr>
        <w:t>Sample and sample size j</w:t>
      </w:r>
      <w:r w:rsidRPr="00563547">
        <w:rPr>
          <w:rFonts w:ascii="Arial" w:hAnsi="Arial" w:cs="Arial"/>
          <w:i/>
          <w:sz w:val="22"/>
          <w:u w:val="single"/>
        </w:rPr>
        <w:t>ustification</w:t>
      </w:r>
      <w:r w:rsidRPr="003711A1">
        <w:rPr>
          <w:rFonts w:ascii="Arial" w:hAnsi="Arial" w:cs="Arial"/>
          <w:sz w:val="22"/>
        </w:rPr>
        <w:t xml:space="preserve">: Using purposive sampling, we </w:t>
      </w:r>
      <w:r>
        <w:rPr>
          <w:rFonts w:ascii="Arial" w:hAnsi="Arial" w:cs="Arial"/>
          <w:sz w:val="22"/>
        </w:rPr>
        <w:t>will conduct up to 50 interviews with individuals in four key stakeholder groups at the forefront</w:t>
      </w:r>
      <w:r w:rsidR="006545B4">
        <w:rPr>
          <w:rFonts w:ascii="Arial" w:hAnsi="Arial" w:cs="Arial"/>
          <w:sz w:val="22"/>
        </w:rPr>
        <w:t xml:space="preserve"> of</w:t>
      </w:r>
      <w:r>
        <w:rPr>
          <w:rFonts w:ascii="Arial" w:hAnsi="Arial" w:cs="Arial"/>
          <w:sz w:val="22"/>
        </w:rPr>
        <w:t xml:space="preserve"> mHealth research: (1) app and device developers; (2) researchers who are integrating mHealth technologies into their studies (including independent and citizen scientist researchers); (3) patient and research participant advocates; and (4) regulatory/policy professionals. Empirical evidence suggests</w:t>
      </w:r>
      <w:r w:rsidRPr="003711A1">
        <w:rPr>
          <w:rFonts w:ascii="Arial" w:hAnsi="Arial" w:cs="Arial"/>
          <w:sz w:val="22"/>
        </w:rPr>
        <w:t xml:space="preserve"> </w:t>
      </w:r>
      <w:r>
        <w:rPr>
          <w:rFonts w:ascii="Arial" w:hAnsi="Arial" w:cs="Arial"/>
          <w:sz w:val="22"/>
        </w:rPr>
        <w:t>that a minimum of 8-12 interviews per group are needed to reach saturation (the point at which no new information or themes are observed in the data.)</w:t>
      </w:r>
      <w:r>
        <w:rPr>
          <w:rStyle w:val="EndnoteReference"/>
          <w:rFonts w:ascii="Arial" w:hAnsi="Arial" w:cs="Arial"/>
          <w:sz w:val="22"/>
        </w:rPr>
        <w:endnoteReference w:id="48"/>
      </w:r>
      <w:r>
        <w:rPr>
          <w:rFonts w:ascii="Arial" w:hAnsi="Arial" w:cs="Arial"/>
          <w:sz w:val="22"/>
        </w:rPr>
        <w:t xml:space="preserve"> We will identify a starting sample within each group based on prominent position within relevant national organizations and entities, as well as authorship on high impact publications on relevant topics. </w:t>
      </w:r>
      <w:r w:rsidRPr="003711A1">
        <w:rPr>
          <w:rFonts w:ascii="Arial" w:hAnsi="Arial" w:cs="Arial"/>
          <w:sz w:val="22"/>
        </w:rPr>
        <w:t xml:space="preserve">We will expand our sample </w:t>
      </w:r>
      <w:r>
        <w:rPr>
          <w:rFonts w:ascii="Arial" w:hAnsi="Arial" w:cs="Arial"/>
          <w:sz w:val="22"/>
        </w:rPr>
        <w:t>with suggestions from Working Group members during Work</w:t>
      </w:r>
      <w:r w:rsidR="002E48E5">
        <w:rPr>
          <w:rFonts w:ascii="Arial" w:hAnsi="Arial" w:cs="Arial"/>
          <w:sz w:val="22"/>
        </w:rPr>
        <w:t>ing Group Meeting #</w:t>
      </w:r>
      <w:r>
        <w:rPr>
          <w:rFonts w:ascii="Arial" w:hAnsi="Arial" w:cs="Arial"/>
          <w:sz w:val="22"/>
        </w:rPr>
        <w:t xml:space="preserve">1, and </w:t>
      </w:r>
      <w:r w:rsidRPr="003711A1">
        <w:rPr>
          <w:rFonts w:ascii="Arial" w:hAnsi="Arial" w:cs="Arial"/>
          <w:sz w:val="22"/>
        </w:rPr>
        <w:t xml:space="preserve">by </w:t>
      </w:r>
      <w:r>
        <w:rPr>
          <w:rFonts w:ascii="Arial" w:hAnsi="Arial" w:cs="Arial"/>
          <w:sz w:val="22"/>
        </w:rPr>
        <w:t>referral</w:t>
      </w:r>
      <w:r w:rsidRPr="003711A1">
        <w:rPr>
          <w:rFonts w:ascii="Arial" w:hAnsi="Arial" w:cs="Arial"/>
          <w:sz w:val="22"/>
        </w:rPr>
        <w:t xml:space="preserve"> sampling, </w:t>
      </w:r>
      <w:r w:rsidRPr="00685E47">
        <w:rPr>
          <w:rFonts w:ascii="Arial" w:hAnsi="Arial" w:cs="Arial"/>
          <w:sz w:val="22"/>
        </w:rPr>
        <w:t>i.e.,</w:t>
      </w:r>
      <w:r w:rsidRPr="003711A1">
        <w:rPr>
          <w:rFonts w:ascii="Arial" w:hAnsi="Arial" w:cs="Arial"/>
          <w:sz w:val="22"/>
        </w:rPr>
        <w:t xml:space="preserve"> asking participants to suggest others who should be invited for an interview.</w:t>
      </w:r>
      <w:r>
        <w:rPr>
          <w:rFonts w:ascii="Arial" w:hAnsi="Arial" w:cs="Arial"/>
          <w:sz w:val="22"/>
        </w:rPr>
        <w:t xml:space="preserve"> </w:t>
      </w:r>
      <w:r>
        <w:rPr>
          <w:rFonts w:ascii="Arial" w:hAnsi="Arial" w:cs="Arial"/>
          <w:color w:val="000000"/>
          <w:sz w:val="22"/>
        </w:rPr>
        <w:t>Professional role and stature are the</w:t>
      </w:r>
      <w:r w:rsidRPr="00A12886">
        <w:rPr>
          <w:rFonts w:ascii="Arial" w:hAnsi="Arial" w:cs="Arial"/>
          <w:color w:val="000000"/>
          <w:sz w:val="22"/>
        </w:rPr>
        <w:t xml:space="preserve"> selection criteri</w:t>
      </w:r>
      <w:r w:rsidR="002E48E5">
        <w:rPr>
          <w:rFonts w:ascii="Arial" w:hAnsi="Arial" w:cs="Arial"/>
          <w:color w:val="000000"/>
          <w:sz w:val="22"/>
        </w:rPr>
        <w:t>a</w:t>
      </w:r>
      <w:r w:rsidRPr="00A12886">
        <w:rPr>
          <w:rFonts w:ascii="Arial" w:hAnsi="Arial" w:cs="Arial"/>
          <w:color w:val="000000"/>
          <w:sz w:val="22"/>
        </w:rPr>
        <w:t xml:space="preserve"> for this </w:t>
      </w:r>
      <w:r>
        <w:rPr>
          <w:rFonts w:ascii="Arial" w:hAnsi="Arial" w:cs="Arial"/>
          <w:color w:val="000000"/>
          <w:sz w:val="22"/>
        </w:rPr>
        <w:t>Aim</w:t>
      </w:r>
      <w:r w:rsidRPr="00A12886">
        <w:rPr>
          <w:rFonts w:ascii="Arial" w:hAnsi="Arial" w:cs="Arial"/>
          <w:color w:val="000000"/>
          <w:sz w:val="22"/>
        </w:rPr>
        <w:t>.</w:t>
      </w:r>
      <w:r w:rsidRPr="00C83093">
        <w:rPr>
          <w:rFonts w:ascii="Arial" w:hAnsi="Arial" w:cs="Arial"/>
          <w:color w:val="000000"/>
          <w:sz w:val="22"/>
        </w:rPr>
        <w:t xml:space="preserve"> </w:t>
      </w:r>
      <w:r>
        <w:rPr>
          <w:rFonts w:ascii="Arial" w:hAnsi="Arial" w:cs="Arial"/>
          <w:color w:val="000000"/>
          <w:sz w:val="22"/>
        </w:rPr>
        <w:t>Within this frame, we will make every effort to maximize the demographic diversity of our sample, including asking for assistance in this regard from Working Group members and during referral sampling</w:t>
      </w:r>
      <w:r w:rsidR="002E48E5">
        <w:rPr>
          <w:rFonts w:ascii="Arial" w:hAnsi="Arial" w:cs="Arial"/>
          <w:color w:val="000000"/>
          <w:sz w:val="22"/>
        </w:rPr>
        <w:t>.</w:t>
      </w:r>
    </w:p>
    <w:p w:rsidR="00313AAD" w:rsidRPr="00371669" w:rsidRDefault="002E48E5" w:rsidP="00EC1F9B">
      <w:pPr>
        <w:spacing w:after="60" w:line="220" w:lineRule="exact"/>
        <w:jc w:val="both"/>
        <w:rPr>
          <w:rFonts w:ascii="Arial" w:hAnsi="Arial" w:cs="Arial"/>
          <w:sz w:val="22"/>
        </w:rPr>
      </w:pPr>
      <w:r>
        <w:rPr>
          <w:rFonts w:ascii="Arial" w:hAnsi="Arial" w:cs="Arial"/>
          <w:sz w:val="22"/>
        </w:rPr>
        <w:t>2</w:t>
      </w:r>
      <w:r w:rsidR="00313AAD" w:rsidRPr="002E48E5">
        <w:rPr>
          <w:rFonts w:ascii="Arial" w:hAnsi="Arial" w:cs="Arial"/>
          <w:sz w:val="22"/>
        </w:rPr>
        <w:t xml:space="preserve">. </w:t>
      </w:r>
      <w:r w:rsidR="00563547" w:rsidRPr="00563547">
        <w:rPr>
          <w:rFonts w:ascii="Arial" w:hAnsi="Arial" w:cs="Arial"/>
          <w:i/>
          <w:sz w:val="22"/>
          <w:u w:val="single"/>
        </w:rPr>
        <w:t>Instrument development and c</w:t>
      </w:r>
      <w:r w:rsidR="00313AAD" w:rsidRPr="00563547">
        <w:rPr>
          <w:rFonts w:ascii="Arial" w:hAnsi="Arial" w:cs="Arial"/>
          <w:i/>
          <w:sz w:val="22"/>
          <w:u w:val="single"/>
        </w:rPr>
        <w:t>ontent</w:t>
      </w:r>
      <w:r w:rsidR="00313AAD" w:rsidRPr="008E5C6E">
        <w:rPr>
          <w:rFonts w:ascii="Arial" w:hAnsi="Arial" w:cs="Arial"/>
          <w:sz w:val="22"/>
        </w:rPr>
        <w:t>: We will develop a</w:t>
      </w:r>
      <w:r w:rsidR="00313AAD" w:rsidRPr="008E5C6E">
        <w:rPr>
          <w:rFonts w:ascii="Arial" w:eastAsia="MS Mincho" w:hAnsi="Arial" w:cs="Arial"/>
          <w:sz w:val="22"/>
        </w:rPr>
        <w:t xml:space="preserve"> semi-structured guide, including standard probes, to direct the interviews; the </w:t>
      </w:r>
      <w:r w:rsidR="00313AAD" w:rsidRPr="007277E9">
        <w:rPr>
          <w:rFonts w:ascii="Arial" w:eastAsia="MS Mincho" w:hAnsi="Arial" w:cs="Arial"/>
          <w:sz w:val="22"/>
        </w:rPr>
        <w:t>Appendix</w:t>
      </w:r>
      <w:r w:rsidR="00313AAD" w:rsidRPr="008E5C6E">
        <w:rPr>
          <w:rFonts w:ascii="Arial" w:eastAsia="MS Mincho" w:hAnsi="Arial" w:cs="Arial"/>
          <w:sz w:val="22"/>
        </w:rPr>
        <w:t xml:space="preserve"> contains a draft of the guide. The guide will be oriented around a realistic research scenario involving the use of mHealth apps and devices in cancer care. The scenario </w:t>
      </w:r>
      <w:r w:rsidR="00BB7D74">
        <w:rPr>
          <w:rFonts w:ascii="Arial" w:eastAsia="MS Mincho" w:hAnsi="Arial" w:cs="Arial"/>
          <w:sz w:val="22"/>
        </w:rPr>
        <w:t xml:space="preserve">(see </w:t>
      </w:r>
      <w:r w:rsidR="002B4166">
        <w:rPr>
          <w:rFonts w:ascii="Arial" w:eastAsia="MS Mincho" w:hAnsi="Arial" w:cs="Arial"/>
          <w:sz w:val="22"/>
        </w:rPr>
        <w:t>A</w:t>
      </w:r>
      <w:r w:rsidR="00BB7D74">
        <w:rPr>
          <w:rFonts w:ascii="Arial" w:eastAsia="MS Mincho" w:hAnsi="Arial" w:cs="Arial"/>
          <w:sz w:val="22"/>
        </w:rPr>
        <w:t xml:space="preserve">ppendix) </w:t>
      </w:r>
      <w:r w:rsidR="002B4166">
        <w:rPr>
          <w:rFonts w:ascii="Arial" w:eastAsia="MS Mincho" w:hAnsi="Arial" w:cs="Arial"/>
          <w:sz w:val="22"/>
        </w:rPr>
        <w:t>is</w:t>
      </w:r>
      <w:r w:rsidR="00313AAD" w:rsidRPr="008E5C6E">
        <w:rPr>
          <w:rFonts w:ascii="Arial" w:eastAsia="MS Mincho" w:hAnsi="Arial" w:cs="Arial"/>
          <w:sz w:val="22"/>
        </w:rPr>
        <w:t xml:space="preserve"> based on actual technologies</w:t>
      </w:r>
      <w:r w:rsidR="00313AAD">
        <w:rPr>
          <w:rStyle w:val="EndnoteReference"/>
          <w:rFonts w:ascii="Arial" w:eastAsia="MS Mincho" w:hAnsi="Arial" w:cs="Arial"/>
          <w:sz w:val="22"/>
        </w:rPr>
        <w:endnoteReference w:id="49"/>
      </w:r>
      <w:hyperlink w:anchor="_ENREF_4" w:tooltip="Blenner, 2016 #1881" w:history="1"/>
      <w:r w:rsidR="00313AAD" w:rsidRPr="008E5C6E">
        <w:rPr>
          <w:rFonts w:ascii="Arial" w:eastAsia="MS Mincho" w:hAnsi="Arial" w:cs="Arial"/>
          <w:sz w:val="22"/>
        </w:rPr>
        <w:t xml:space="preserve"> with questions designed to explore alternate pivotal attributes, such as the </w:t>
      </w:r>
      <w:r w:rsidR="00313AAD" w:rsidRPr="008E5C6E">
        <w:rPr>
          <w:rFonts w:ascii="Arial" w:hAnsi="Arial" w:cs="Arial"/>
          <w:sz w:val="22"/>
        </w:rPr>
        <w:t>characteristics of the investigator</w:t>
      </w:r>
      <w:r w:rsidR="00BB7D74">
        <w:rPr>
          <w:rFonts w:ascii="Arial" w:hAnsi="Arial" w:cs="Arial"/>
          <w:sz w:val="22"/>
        </w:rPr>
        <w:t>s</w:t>
      </w:r>
      <w:r w:rsidR="00313AAD" w:rsidRPr="008E5C6E">
        <w:rPr>
          <w:rFonts w:ascii="Arial" w:hAnsi="Arial" w:cs="Arial"/>
          <w:sz w:val="22"/>
        </w:rPr>
        <w:t xml:space="preserve"> and </w:t>
      </w:r>
      <w:r w:rsidR="00BB7D74">
        <w:rPr>
          <w:rFonts w:ascii="Arial" w:hAnsi="Arial" w:cs="Arial"/>
          <w:sz w:val="22"/>
        </w:rPr>
        <w:t>t</w:t>
      </w:r>
      <w:r w:rsidR="00313AAD" w:rsidRPr="008E5C6E">
        <w:rPr>
          <w:rFonts w:ascii="Arial" w:hAnsi="Arial" w:cs="Arial"/>
          <w:sz w:val="22"/>
        </w:rPr>
        <w:t>he</w:t>
      </w:r>
      <w:r w:rsidR="00BB7D74">
        <w:rPr>
          <w:rFonts w:ascii="Arial" w:hAnsi="Arial" w:cs="Arial"/>
          <w:sz w:val="22"/>
        </w:rPr>
        <w:t>i</w:t>
      </w:r>
      <w:r w:rsidR="00313AAD" w:rsidRPr="008E5C6E">
        <w:rPr>
          <w:rFonts w:ascii="Arial" w:hAnsi="Arial" w:cs="Arial"/>
          <w:sz w:val="22"/>
        </w:rPr>
        <w:t>r setting, study design (</w:t>
      </w:r>
      <w:r w:rsidR="00313AAD" w:rsidRPr="00F91F79">
        <w:rPr>
          <w:rFonts w:ascii="Arial" w:hAnsi="Arial" w:cs="Arial"/>
          <w:sz w:val="22"/>
        </w:rPr>
        <w:t>e.g</w:t>
      </w:r>
      <w:r w:rsidR="00313AAD" w:rsidRPr="008E5C6E">
        <w:rPr>
          <w:rFonts w:ascii="Arial" w:hAnsi="Arial" w:cs="Arial"/>
          <w:i/>
          <w:sz w:val="22"/>
        </w:rPr>
        <w:t>.,</w:t>
      </w:r>
      <w:r w:rsidR="00313AAD" w:rsidRPr="008E5C6E">
        <w:rPr>
          <w:rFonts w:ascii="Arial" w:hAnsi="Arial" w:cs="Arial"/>
          <w:sz w:val="22"/>
        </w:rPr>
        <w:t xml:space="preserve"> observational versus interventional), and the nature of the data collected. </w:t>
      </w:r>
      <w:r w:rsidR="00313AAD" w:rsidRPr="008E5C6E">
        <w:rPr>
          <w:rFonts w:ascii="Arial" w:eastAsia="MS Mincho" w:hAnsi="Arial" w:cs="Arial"/>
          <w:sz w:val="22"/>
        </w:rPr>
        <w:t xml:space="preserve">The interviews will focus on topics such as perceptions of benefits and risks in mHealth </w:t>
      </w:r>
      <w:r w:rsidR="00F91F79">
        <w:rPr>
          <w:rFonts w:ascii="Arial" w:eastAsia="MS Mincho" w:hAnsi="Arial" w:cs="Arial"/>
          <w:sz w:val="22"/>
        </w:rPr>
        <w:t>research,</w:t>
      </w:r>
      <w:r w:rsidR="00313AAD" w:rsidRPr="008E5C6E">
        <w:rPr>
          <w:rFonts w:ascii="Arial" w:eastAsia="MS Mincho" w:hAnsi="Arial" w:cs="Arial"/>
          <w:sz w:val="22"/>
        </w:rPr>
        <w:t xml:space="preserve"> current and appropriate approaches to informed consent</w:t>
      </w:r>
      <w:r w:rsidR="00F91F79">
        <w:rPr>
          <w:rFonts w:ascii="Arial" w:eastAsia="MS Mincho" w:hAnsi="Arial" w:cs="Arial"/>
          <w:sz w:val="22"/>
        </w:rPr>
        <w:t>,</w:t>
      </w:r>
      <w:r w:rsidR="00313AAD" w:rsidRPr="008E5C6E">
        <w:rPr>
          <w:rFonts w:ascii="Arial" w:eastAsia="MS Mincho" w:hAnsi="Arial" w:cs="Arial"/>
          <w:sz w:val="22"/>
        </w:rPr>
        <w:t xml:space="preserve"> and current and appropriate approaches to protecting privacy and confidentiality. In addition to open-ended questions, we will incorporate close-ended and other question formats, </w:t>
      </w:r>
      <w:r w:rsidR="00313AAD" w:rsidRPr="008E5C6E">
        <w:rPr>
          <w:rFonts w:ascii="Arial" w:hAnsi="Arial" w:cs="Arial"/>
          <w:sz w:val="22"/>
        </w:rPr>
        <w:t>such as rating and ranking exercises, to systematically explore key aspects of these topics.</w:t>
      </w:r>
      <w:r w:rsidR="00313AAD">
        <w:rPr>
          <w:rFonts w:ascii="Arial" w:hAnsi="Arial" w:cs="Arial"/>
          <w:sz w:val="22"/>
        </w:rPr>
        <w:t xml:space="preserve"> </w:t>
      </w:r>
      <w:r w:rsidR="00313AAD" w:rsidRPr="008E5C6E">
        <w:rPr>
          <w:rFonts w:ascii="Arial" w:hAnsi="Arial" w:cs="Arial"/>
          <w:sz w:val="22"/>
        </w:rPr>
        <w:t xml:space="preserve">We allocated time at the beginning of the project to further develop and finalize the interview guide, including </w:t>
      </w:r>
      <w:r w:rsidR="00313AAD">
        <w:rPr>
          <w:rFonts w:ascii="Arial" w:hAnsi="Arial" w:cs="Arial"/>
          <w:sz w:val="22"/>
        </w:rPr>
        <w:t xml:space="preserve">robust pilot testing </w:t>
      </w:r>
      <w:r w:rsidR="00313AAD">
        <w:rPr>
          <w:rFonts w:ascii="Arial" w:hAnsi="Arial" w:cs="Arial"/>
          <w:sz w:val="22"/>
        </w:rPr>
        <w:lastRenderedPageBreak/>
        <w:t>to ensure that the questions are understood as intended and address essential issues. At Work</w:t>
      </w:r>
      <w:r w:rsidR="00941C9D">
        <w:rPr>
          <w:rFonts w:ascii="Arial" w:hAnsi="Arial" w:cs="Arial"/>
          <w:sz w:val="22"/>
        </w:rPr>
        <w:t>ing Group Meeting #</w:t>
      </w:r>
      <w:r w:rsidR="00313AAD">
        <w:rPr>
          <w:rFonts w:ascii="Arial" w:hAnsi="Arial" w:cs="Arial"/>
          <w:sz w:val="22"/>
        </w:rPr>
        <w:t>1, we will present the guide and the results of pilot testing to obtain any final feedback.</w:t>
      </w:r>
    </w:p>
    <w:p w:rsidR="00313AAD" w:rsidRPr="007C4A49" w:rsidRDefault="00941C9D" w:rsidP="00EC1F9B">
      <w:pPr>
        <w:spacing w:after="60" w:line="220" w:lineRule="exact"/>
        <w:jc w:val="both"/>
        <w:rPr>
          <w:rFonts w:ascii="Arial" w:hAnsi="Arial" w:cs="Arial"/>
          <w:sz w:val="22"/>
        </w:rPr>
      </w:pPr>
      <w:r>
        <w:rPr>
          <w:rFonts w:ascii="Arial" w:hAnsi="Arial" w:cs="Arial"/>
          <w:sz w:val="22"/>
        </w:rPr>
        <w:t>3</w:t>
      </w:r>
      <w:r w:rsidR="00313AAD" w:rsidRPr="00941C9D">
        <w:rPr>
          <w:rFonts w:ascii="Arial" w:hAnsi="Arial" w:cs="Arial"/>
          <w:sz w:val="22"/>
        </w:rPr>
        <w:t xml:space="preserve">. </w:t>
      </w:r>
      <w:r w:rsidR="00313AAD" w:rsidRPr="00563547">
        <w:rPr>
          <w:rFonts w:ascii="Arial" w:hAnsi="Arial" w:cs="Arial"/>
          <w:i/>
          <w:sz w:val="22"/>
          <w:u w:val="single"/>
        </w:rPr>
        <w:t>Procedures</w:t>
      </w:r>
      <w:r w:rsidR="00313AAD" w:rsidRPr="007C4A49">
        <w:rPr>
          <w:rFonts w:ascii="Arial" w:hAnsi="Arial" w:cs="Arial"/>
          <w:sz w:val="22"/>
        </w:rPr>
        <w:t>: We will send an email invitation to thought leaders describing the goals of our overall study</w:t>
      </w:r>
      <w:r w:rsidR="00313AAD">
        <w:rPr>
          <w:rFonts w:ascii="Arial" w:hAnsi="Arial" w:cs="Arial"/>
          <w:sz w:val="22"/>
        </w:rPr>
        <w:t>,</w:t>
      </w:r>
      <w:r w:rsidR="00313AAD" w:rsidRPr="007C4A49">
        <w:rPr>
          <w:rFonts w:ascii="Arial" w:hAnsi="Arial" w:cs="Arial"/>
          <w:sz w:val="22"/>
        </w:rPr>
        <w:t xml:space="preserve"> </w:t>
      </w:r>
      <w:r w:rsidR="00313AAD">
        <w:rPr>
          <w:rFonts w:ascii="Arial" w:hAnsi="Arial" w:cs="Arial"/>
          <w:sz w:val="22"/>
        </w:rPr>
        <w:t>along with</w:t>
      </w:r>
      <w:r w:rsidR="00313AAD" w:rsidRPr="007C4A49">
        <w:rPr>
          <w:rFonts w:ascii="Arial" w:hAnsi="Arial" w:cs="Arial"/>
          <w:sz w:val="22"/>
        </w:rPr>
        <w:t xml:space="preserve"> an information sheet </w:t>
      </w:r>
      <w:r w:rsidR="00313AAD">
        <w:rPr>
          <w:rFonts w:ascii="Arial" w:hAnsi="Arial" w:cs="Arial"/>
          <w:sz w:val="22"/>
        </w:rPr>
        <w:t>about</w:t>
      </w:r>
      <w:r w:rsidR="00313AAD" w:rsidRPr="007C4A49">
        <w:rPr>
          <w:rFonts w:ascii="Arial" w:hAnsi="Arial" w:cs="Arial"/>
          <w:sz w:val="22"/>
        </w:rPr>
        <w:t xml:space="preserve"> the interview. </w:t>
      </w:r>
      <w:r w:rsidR="00313AAD" w:rsidRPr="00153A2E">
        <w:rPr>
          <w:rFonts w:ascii="Arial" w:hAnsi="Arial" w:cs="Arial"/>
          <w:sz w:val="22"/>
        </w:rPr>
        <w:t xml:space="preserve">Among individuals who indicate willingness to participate, we will schedule a time for a telephone interview at </w:t>
      </w:r>
      <w:r w:rsidR="00313AAD">
        <w:rPr>
          <w:rFonts w:ascii="Arial" w:hAnsi="Arial" w:cs="Arial"/>
          <w:sz w:val="22"/>
        </w:rPr>
        <w:t>their</w:t>
      </w:r>
      <w:r w:rsidR="00313AAD" w:rsidRPr="00153A2E">
        <w:rPr>
          <w:rFonts w:ascii="Arial" w:hAnsi="Arial" w:cs="Arial"/>
          <w:sz w:val="22"/>
        </w:rPr>
        <w:t xml:space="preserve"> convenience</w:t>
      </w:r>
      <w:r w:rsidR="00313AAD">
        <w:rPr>
          <w:rFonts w:ascii="Arial" w:hAnsi="Arial" w:cs="Arial"/>
          <w:sz w:val="22"/>
        </w:rPr>
        <w:t>, and send a copy of the research scenario to review in advance</w:t>
      </w:r>
      <w:r w:rsidR="00313AAD" w:rsidRPr="00153A2E">
        <w:rPr>
          <w:rFonts w:ascii="Arial" w:hAnsi="Arial" w:cs="Arial"/>
          <w:sz w:val="22"/>
        </w:rPr>
        <w:t xml:space="preserve">. </w:t>
      </w:r>
      <w:r w:rsidR="00313AAD">
        <w:rPr>
          <w:rFonts w:ascii="Arial" w:hAnsi="Arial" w:cs="Arial"/>
          <w:sz w:val="22"/>
        </w:rPr>
        <w:t xml:space="preserve">Under </w:t>
      </w:r>
      <w:r w:rsidR="00685E47">
        <w:rPr>
          <w:rFonts w:ascii="Arial" w:hAnsi="Arial" w:cs="Arial"/>
          <w:sz w:val="22"/>
        </w:rPr>
        <w:t xml:space="preserve">the </w:t>
      </w:r>
      <w:r w:rsidR="00313AAD">
        <w:rPr>
          <w:rFonts w:ascii="Arial" w:hAnsi="Arial" w:cs="Arial"/>
          <w:sz w:val="22"/>
        </w:rPr>
        <w:t>supervision</w:t>
      </w:r>
      <w:r w:rsidR="00685E47">
        <w:rPr>
          <w:rFonts w:ascii="Arial" w:hAnsi="Arial" w:cs="Arial"/>
          <w:sz w:val="22"/>
        </w:rPr>
        <w:t xml:space="preserve"> of Dr. Laura Beskow (co-investigator)</w:t>
      </w:r>
      <w:r w:rsidR="00313AAD">
        <w:rPr>
          <w:rFonts w:ascii="Arial" w:hAnsi="Arial" w:cs="Arial"/>
          <w:sz w:val="22"/>
        </w:rPr>
        <w:t xml:space="preserve">, highly trained and experienced members of her research staff will conduct the interviews. </w:t>
      </w:r>
      <w:r w:rsidR="00313AAD" w:rsidRPr="007C4A49">
        <w:rPr>
          <w:rFonts w:ascii="Arial" w:hAnsi="Arial" w:cs="Arial"/>
          <w:sz w:val="22"/>
        </w:rPr>
        <w:t>At the beginning of each interview, we will review the information sheet and ask for the participant</w:t>
      </w:r>
      <w:r w:rsidR="00313AAD">
        <w:rPr>
          <w:rFonts w:ascii="Arial" w:hAnsi="Arial" w:cs="Arial"/>
          <w:sz w:val="22"/>
        </w:rPr>
        <w:t>’</w:t>
      </w:r>
      <w:r w:rsidR="00313AAD" w:rsidRPr="007C4A49">
        <w:rPr>
          <w:rFonts w:ascii="Arial" w:hAnsi="Arial" w:cs="Arial"/>
          <w:sz w:val="22"/>
        </w:rPr>
        <w:t xml:space="preserve">s verbal consent. We anticipate each interview will last approximately 45-60 </w:t>
      </w:r>
      <w:r w:rsidR="00313AAD" w:rsidRPr="008E5C6E">
        <w:rPr>
          <w:rFonts w:ascii="Arial" w:hAnsi="Arial" w:cs="Arial"/>
          <w:sz w:val="22"/>
        </w:rPr>
        <w:t xml:space="preserve">minutes, and we will offer $100 compensation for participants’ time. With participants’ permission, interviews </w:t>
      </w:r>
      <w:r w:rsidR="00313AAD" w:rsidRPr="007C4A49">
        <w:rPr>
          <w:rFonts w:ascii="Arial" w:hAnsi="Arial" w:cs="Arial"/>
          <w:sz w:val="22"/>
        </w:rPr>
        <w:t>will be audio-recorded</w:t>
      </w:r>
      <w:r w:rsidR="00313AAD">
        <w:rPr>
          <w:rFonts w:ascii="Arial" w:hAnsi="Arial" w:cs="Arial"/>
          <w:sz w:val="22"/>
        </w:rPr>
        <w:t xml:space="preserve"> and </w:t>
      </w:r>
      <w:r w:rsidR="00313AAD" w:rsidRPr="007C4A49">
        <w:rPr>
          <w:rFonts w:ascii="Arial" w:hAnsi="Arial" w:cs="Arial"/>
          <w:sz w:val="22"/>
        </w:rPr>
        <w:t>transcribed.</w:t>
      </w:r>
    </w:p>
    <w:p w:rsidR="00313AAD" w:rsidRPr="00052ECE" w:rsidRDefault="00941C9D" w:rsidP="00EC1F9B">
      <w:pPr>
        <w:spacing w:after="60" w:line="220" w:lineRule="exact"/>
        <w:jc w:val="both"/>
        <w:rPr>
          <w:rFonts w:ascii="Arial" w:hAnsi="Arial" w:cs="Arial"/>
          <w:sz w:val="22"/>
        </w:rPr>
      </w:pPr>
      <w:r>
        <w:rPr>
          <w:rFonts w:ascii="Arial" w:hAnsi="Arial" w:cs="Arial"/>
          <w:sz w:val="22"/>
        </w:rPr>
        <w:t>4</w:t>
      </w:r>
      <w:r w:rsidR="00313AAD" w:rsidRPr="00941C9D">
        <w:rPr>
          <w:rFonts w:ascii="Arial" w:hAnsi="Arial" w:cs="Arial"/>
          <w:sz w:val="22"/>
        </w:rPr>
        <w:t>.</w:t>
      </w:r>
      <w:r w:rsidR="00563547" w:rsidRPr="00F454B4">
        <w:rPr>
          <w:rFonts w:ascii="Arial" w:hAnsi="Arial" w:cs="Arial"/>
          <w:sz w:val="22"/>
        </w:rPr>
        <w:t xml:space="preserve"> </w:t>
      </w:r>
      <w:r w:rsidR="00563547" w:rsidRPr="00563547">
        <w:rPr>
          <w:rFonts w:ascii="Arial" w:hAnsi="Arial" w:cs="Arial"/>
          <w:i/>
          <w:sz w:val="22"/>
          <w:u w:val="single"/>
        </w:rPr>
        <w:t>Data a</w:t>
      </w:r>
      <w:r w:rsidR="00313AAD" w:rsidRPr="00563547">
        <w:rPr>
          <w:rFonts w:ascii="Arial" w:hAnsi="Arial" w:cs="Arial"/>
          <w:i/>
          <w:sz w:val="22"/>
          <w:u w:val="single"/>
        </w:rPr>
        <w:t>nalysis</w:t>
      </w:r>
      <w:r w:rsidR="00313AAD" w:rsidRPr="00052ECE">
        <w:rPr>
          <w:rFonts w:ascii="Arial" w:hAnsi="Arial" w:cs="Arial"/>
          <w:sz w:val="22"/>
        </w:rPr>
        <w:t xml:space="preserve">: </w:t>
      </w:r>
      <w:r w:rsidR="002B4166">
        <w:rPr>
          <w:rFonts w:ascii="Arial" w:hAnsi="Arial" w:cs="Arial"/>
          <w:sz w:val="22"/>
        </w:rPr>
        <w:t>T</w:t>
      </w:r>
      <w:r w:rsidR="00313AAD">
        <w:rPr>
          <w:rFonts w:ascii="Arial" w:hAnsi="Arial" w:cs="Arial"/>
          <w:sz w:val="22"/>
        </w:rPr>
        <w:t>he Duke team</w:t>
      </w:r>
      <w:r w:rsidR="00313AAD" w:rsidRPr="00052ECE">
        <w:rPr>
          <w:rFonts w:ascii="Arial" w:hAnsi="Arial" w:cs="Arial"/>
          <w:sz w:val="22"/>
        </w:rPr>
        <w:t xml:space="preserve"> will lead codebook development, and the coding, analys</w:t>
      </w:r>
      <w:r w:rsidR="00313AAD">
        <w:rPr>
          <w:rFonts w:ascii="Arial" w:hAnsi="Arial" w:cs="Arial"/>
          <w:sz w:val="22"/>
        </w:rPr>
        <w:t>is, and interpretation of the data</w:t>
      </w:r>
      <w:r w:rsidR="00313AAD" w:rsidRPr="00052ECE">
        <w:rPr>
          <w:rFonts w:ascii="Arial" w:hAnsi="Arial" w:cs="Arial"/>
          <w:sz w:val="22"/>
        </w:rPr>
        <w:t>.</w:t>
      </w:r>
      <w:r w:rsidR="00313AAD">
        <w:rPr>
          <w:rFonts w:ascii="Arial" w:hAnsi="Arial" w:cs="Arial"/>
          <w:sz w:val="22"/>
        </w:rPr>
        <w:t xml:space="preserve"> </w:t>
      </w:r>
      <w:r w:rsidR="00313AAD" w:rsidRPr="00052ECE">
        <w:rPr>
          <w:rFonts w:ascii="Arial" w:hAnsi="Arial" w:cs="Arial"/>
          <w:sz w:val="22"/>
        </w:rPr>
        <w:t>We will upload transcribed interviews into qualitative research software, NVivo</w:t>
      </w:r>
      <w:r w:rsidR="00313AAD">
        <w:rPr>
          <w:rFonts w:ascii="Arial" w:hAnsi="Arial" w:cs="Arial"/>
          <w:sz w:val="22"/>
        </w:rPr>
        <w:t xml:space="preserve"> 11</w:t>
      </w:r>
      <w:r w:rsidR="00313AAD" w:rsidRPr="00052ECE">
        <w:rPr>
          <w:rFonts w:ascii="Arial" w:hAnsi="Arial" w:cs="Arial"/>
          <w:sz w:val="22"/>
        </w:rPr>
        <w:t>, and develop a codebook via a standardized iterative process</w:t>
      </w:r>
      <w:r>
        <w:rPr>
          <w:rFonts w:ascii="Arial" w:hAnsi="Arial" w:cs="Arial"/>
          <w:sz w:val="22"/>
        </w:rPr>
        <w:t>.</w:t>
      </w:r>
      <w:bookmarkStart w:id="1" w:name="_Ref452020952"/>
      <w:r w:rsidR="00313AAD">
        <w:rPr>
          <w:rStyle w:val="EndnoteReference"/>
          <w:rFonts w:ascii="Arial" w:hAnsi="Arial" w:cs="Arial"/>
          <w:sz w:val="22"/>
        </w:rPr>
        <w:endnoteReference w:id="50"/>
      </w:r>
      <w:bookmarkEnd w:id="1"/>
      <w:r w:rsidR="00313AAD" w:rsidRPr="00052ECE">
        <w:rPr>
          <w:rFonts w:ascii="Arial" w:hAnsi="Arial" w:cs="Arial"/>
          <w:sz w:val="22"/>
        </w:rPr>
        <w:t xml:space="preserve"> Specifically, we will first assign structural codes throughout </w:t>
      </w:r>
      <w:r w:rsidR="00313AAD">
        <w:rPr>
          <w:rFonts w:ascii="Arial" w:hAnsi="Arial" w:cs="Arial"/>
          <w:sz w:val="22"/>
        </w:rPr>
        <w:t xml:space="preserve">each </w:t>
      </w:r>
      <w:r w:rsidR="00313AAD" w:rsidRPr="00052ECE">
        <w:rPr>
          <w:rFonts w:ascii="Arial" w:hAnsi="Arial" w:cs="Arial"/>
          <w:sz w:val="22"/>
        </w:rPr>
        <w:t xml:space="preserve">transcript to delineate each question and response based on our interview guide. Next we will create thematic codes based on the substantive content of the </w:t>
      </w:r>
      <w:r w:rsidR="00313AAD">
        <w:rPr>
          <w:rFonts w:ascii="Arial" w:hAnsi="Arial" w:cs="Arial"/>
          <w:sz w:val="22"/>
        </w:rPr>
        <w:t>transcripts</w:t>
      </w:r>
      <w:r w:rsidR="00313AAD" w:rsidRPr="00052ECE">
        <w:rPr>
          <w:rFonts w:ascii="Arial" w:hAnsi="Arial" w:cs="Arial"/>
          <w:sz w:val="22"/>
        </w:rPr>
        <w:t>. T</w:t>
      </w:r>
      <w:r w:rsidR="00313AAD">
        <w:rPr>
          <w:rFonts w:ascii="Arial" w:hAnsi="Arial" w:cs="Arial"/>
          <w:sz w:val="22"/>
        </w:rPr>
        <w:t>ogether, t</w:t>
      </w:r>
      <w:r w:rsidR="00313AAD" w:rsidRPr="00052ECE">
        <w:rPr>
          <w:rFonts w:ascii="Arial" w:hAnsi="Arial" w:cs="Arial"/>
          <w:sz w:val="22"/>
        </w:rPr>
        <w:t xml:space="preserve">he research team will review </w:t>
      </w:r>
      <w:r w:rsidR="00313AAD">
        <w:rPr>
          <w:rFonts w:ascii="Arial" w:hAnsi="Arial" w:cs="Arial"/>
          <w:sz w:val="22"/>
        </w:rPr>
        <w:t>four</w:t>
      </w:r>
      <w:r w:rsidR="00313AAD" w:rsidRPr="00052ECE">
        <w:rPr>
          <w:rFonts w:ascii="Arial" w:hAnsi="Arial" w:cs="Arial"/>
          <w:sz w:val="22"/>
        </w:rPr>
        <w:t xml:space="preserve"> transcripts, drawn from </w:t>
      </w:r>
      <w:r w:rsidR="00313AAD">
        <w:rPr>
          <w:rFonts w:ascii="Arial" w:hAnsi="Arial" w:cs="Arial"/>
          <w:sz w:val="22"/>
        </w:rPr>
        <w:t xml:space="preserve">the </w:t>
      </w:r>
      <w:r w:rsidR="00313AAD" w:rsidRPr="00052ECE">
        <w:rPr>
          <w:rFonts w:ascii="Arial" w:hAnsi="Arial" w:cs="Arial"/>
          <w:sz w:val="22"/>
        </w:rPr>
        <w:t>different stakeholder groups, to discuss and develop an initial set of codes. These will be compiled in a codebook that contains the code name, definition, details concerning when to use and not use the code, and example text to which the code has been applied</w:t>
      </w:r>
      <w:r w:rsidR="00755A5B">
        <w:rPr>
          <w:rFonts w:ascii="Arial" w:hAnsi="Arial" w:cs="Arial"/>
          <w:sz w:val="22"/>
        </w:rPr>
        <w:t>.</w:t>
      </w:r>
      <w:r w:rsidR="00755A5B" w:rsidRPr="00755A5B">
        <w:rPr>
          <w:rFonts w:ascii="Arial" w:hAnsi="Arial" w:cs="Arial"/>
          <w:sz w:val="22"/>
          <w:vertAlign w:val="superscript"/>
        </w:rPr>
        <w:fldChar w:fldCharType="begin"/>
      </w:r>
      <w:r w:rsidR="00755A5B" w:rsidRPr="00755A5B">
        <w:rPr>
          <w:rFonts w:ascii="Arial" w:hAnsi="Arial" w:cs="Arial"/>
          <w:sz w:val="22"/>
          <w:vertAlign w:val="superscript"/>
        </w:rPr>
        <w:instrText xml:space="preserve"> NOTEREF _Ref452020952 \h </w:instrText>
      </w:r>
      <w:r w:rsidR="00755A5B">
        <w:rPr>
          <w:rFonts w:ascii="Arial" w:hAnsi="Arial" w:cs="Arial"/>
          <w:sz w:val="22"/>
          <w:vertAlign w:val="superscript"/>
        </w:rPr>
        <w:instrText xml:space="preserve"> \* MERGEFORMAT </w:instrText>
      </w:r>
      <w:r w:rsidR="00755A5B" w:rsidRPr="00755A5B">
        <w:rPr>
          <w:rFonts w:ascii="Arial" w:hAnsi="Arial" w:cs="Arial"/>
          <w:sz w:val="22"/>
          <w:vertAlign w:val="superscript"/>
        </w:rPr>
      </w:r>
      <w:r w:rsidR="00755A5B" w:rsidRPr="00755A5B">
        <w:rPr>
          <w:rFonts w:ascii="Arial" w:hAnsi="Arial" w:cs="Arial"/>
          <w:sz w:val="22"/>
          <w:vertAlign w:val="superscript"/>
        </w:rPr>
        <w:fldChar w:fldCharType="separate"/>
      </w:r>
      <w:r w:rsidR="00F454B4">
        <w:rPr>
          <w:rFonts w:ascii="Arial" w:hAnsi="Arial" w:cs="Arial"/>
          <w:sz w:val="22"/>
          <w:vertAlign w:val="superscript"/>
        </w:rPr>
        <w:t>49</w:t>
      </w:r>
      <w:r w:rsidR="00755A5B" w:rsidRPr="00755A5B">
        <w:rPr>
          <w:rFonts w:ascii="Arial" w:hAnsi="Arial" w:cs="Arial"/>
          <w:sz w:val="22"/>
          <w:vertAlign w:val="superscript"/>
        </w:rPr>
        <w:fldChar w:fldCharType="end"/>
      </w:r>
      <w:r w:rsidR="00313AAD" w:rsidRPr="00052ECE">
        <w:rPr>
          <w:rFonts w:ascii="Arial" w:hAnsi="Arial" w:cs="Arial"/>
          <w:sz w:val="22"/>
        </w:rPr>
        <w:t xml:space="preserve"> </w:t>
      </w:r>
      <w:r w:rsidR="00313AAD">
        <w:rPr>
          <w:rFonts w:ascii="Arial" w:hAnsi="Arial" w:cs="Arial"/>
          <w:sz w:val="22"/>
        </w:rPr>
        <w:t xml:space="preserve">Two team members will </w:t>
      </w:r>
      <w:r w:rsidR="00313AAD" w:rsidRPr="00052ECE">
        <w:rPr>
          <w:rFonts w:ascii="Arial" w:hAnsi="Arial" w:cs="Arial"/>
          <w:sz w:val="22"/>
        </w:rPr>
        <w:t>independently apply these codes to the transcripts and then compare inter-coder agreement using Holsti</w:t>
      </w:r>
      <w:r w:rsidR="00313AAD">
        <w:rPr>
          <w:rFonts w:ascii="Arial" w:hAnsi="Arial" w:cs="Arial"/>
          <w:sz w:val="22"/>
        </w:rPr>
        <w:t>’</w:t>
      </w:r>
      <w:r w:rsidR="00313AAD" w:rsidRPr="00052ECE">
        <w:rPr>
          <w:rFonts w:ascii="Arial" w:hAnsi="Arial" w:cs="Arial"/>
          <w:sz w:val="22"/>
        </w:rPr>
        <w:t>s method</w:t>
      </w:r>
      <w:r>
        <w:rPr>
          <w:rFonts w:ascii="Arial" w:hAnsi="Arial" w:cs="Arial"/>
          <w:sz w:val="22"/>
        </w:rPr>
        <w:t>.</w:t>
      </w:r>
      <w:r w:rsidR="00313AAD">
        <w:rPr>
          <w:rStyle w:val="EndnoteReference"/>
          <w:rFonts w:ascii="Arial" w:hAnsi="Arial" w:cs="Arial"/>
          <w:sz w:val="22"/>
        </w:rPr>
        <w:endnoteReference w:id="51"/>
      </w:r>
      <w:r w:rsidR="00313AAD">
        <w:rPr>
          <w:rFonts w:ascii="Arial" w:hAnsi="Arial" w:cs="Arial"/>
          <w:sz w:val="22"/>
        </w:rPr>
        <w:t xml:space="preserve"> Any</w:t>
      </w:r>
      <w:r w:rsidR="00313AAD" w:rsidRPr="00052ECE">
        <w:rPr>
          <w:rFonts w:ascii="Arial" w:hAnsi="Arial" w:cs="Arial"/>
          <w:sz w:val="22"/>
        </w:rPr>
        <w:t xml:space="preserve"> discrepancies </w:t>
      </w:r>
      <w:r w:rsidR="00313AAD">
        <w:rPr>
          <w:rFonts w:ascii="Arial" w:hAnsi="Arial" w:cs="Arial"/>
          <w:sz w:val="22"/>
        </w:rPr>
        <w:t xml:space="preserve">will be resolved </w:t>
      </w:r>
      <w:r w:rsidR="00313AAD" w:rsidRPr="00052ECE">
        <w:rPr>
          <w:rFonts w:ascii="Arial" w:hAnsi="Arial" w:cs="Arial"/>
          <w:sz w:val="22"/>
        </w:rPr>
        <w:t xml:space="preserve">in consultation with Dr. Beskow and the other investigators. This process will be repeated </w:t>
      </w:r>
      <w:r w:rsidR="00313AAD">
        <w:rPr>
          <w:rFonts w:ascii="Arial" w:hAnsi="Arial" w:cs="Arial"/>
          <w:sz w:val="22"/>
        </w:rPr>
        <w:t>with remaining</w:t>
      </w:r>
      <w:r w:rsidR="00313AAD" w:rsidRPr="00052ECE">
        <w:rPr>
          <w:rFonts w:ascii="Arial" w:hAnsi="Arial" w:cs="Arial"/>
          <w:sz w:val="22"/>
        </w:rPr>
        <w:t xml:space="preserve"> transcripts, </w:t>
      </w:r>
      <w:r w:rsidR="00313AAD">
        <w:rPr>
          <w:rFonts w:ascii="Arial" w:hAnsi="Arial" w:cs="Arial"/>
          <w:sz w:val="22"/>
        </w:rPr>
        <w:t>including</w:t>
      </w:r>
      <w:r w:rsidR="00313AAD" w:rsidRPr="00052ECE">
        <w:rPr>
          <w:rFonts w:ascii="Arial" w:hAnsi="Arial" w:cs="Arial"/>
          <w:sz w:val="22"/>
        </w:rPr>
        <w:t xml:space="preserve"> </w:t>
      </w:r>
      <w:r w:rsidR="00313AAD">
        <w:rPr>
          <w:rFonts w:ascii="Arial" w:hAnsi="Arial" w:cs="Arial"/>
          <w:sz w:val="22"/>
        </w:rPr>
        <w:t xml:space="preserve">periodic checks of inter-coder agreement, </w:t>
      </w:r>
      <w:r w:rsidR="00313AAD" w:rsidRPr="00052ECE">
        <w:rPr>
          <w:rFonts w:ascii="Arial" w:hAnsi="Arial" w:cs="Arial"/>
          <w:sz w:val="22"/>
        </w:rPr>
        <w:t>revisions to the codebook</w:t>
      </w:r>
      <w:r w:rsidR="00313AAD">
        <w:rPr>
          <w:rFonts w:ascii="Arial" w:hAnsi="Arial" w:cs="Arial"/>
          <w:sz w:val="22"/>
        </w:rPr>
        <w:t>,</w:t>
      </w:r>
      <w:r w:rsidR="00313AAD" w:rsidRPr="00052ECE">
        <w:rPr>
          <w:rFonts w:ascii="Arial" w:hAnsi="Arial" w:cs="Arial"/>
          <w:sz w:val="22"/>
        </w:rPr>
        <w:t xml:space="preserve"> and recoding of the transcripts as needed to capture any additions or refinements.</w:t>
      </w:r>
    </w:p>
    <w:p w:rsidR="00313AAD" w:rsidRDefault="00313AAD" w:rsidP="00EC1F9B">
      <w:pPr>
        <w:spacing w:after="60" w:line="220" w:lineRule="exact"/>
        <w:jc w:val="both"/>
        <w:rPr>
          <w:rFonts w:ascii="Arial" w:hAnsi="Arial" w:cs="Arial"/>
          <w:sz w:val="22"/>
        </w:rPr>
      </w:pPr>
      <w:r w:rsidRPr="00465E8B">
        <w:rPr>
          <w:rFonts w:ascii="Arial" w:hAnsi="Arial" w:cs="Arial"/>
          <w:sz w:val="22"/>
        </w:rPr>
        <w:t>Once all data are coded,</w:t>
      </w:r>
      <w:r w:rsidRPr="00B011FE">
        <w:rPr>
          <w:rFonts w:ascii="Arial" w:hAnsi="Arial" w:cs="Arial"/>
          <w:sz w:val="22"/>
        </w:rPr>
        <w:t xml:space="preserve"> </w:t>
      </w:r>
      <w:r w:rsidRPr="00465E8B">
        <w:rPr>
          <w:rFonts w:ascii="Arial" w:hAnsi="Arial" w:cs="Arial"/>
          <w:sz w:val="22"/>
        </w:rPr>
        <w:t>we will use an applied thematic analysis approach to explore the range of responses within and across stakeholder groups</w:t>
      </w:r>
      <w:r w:rsidR="00941C9D">
        <w:rPr>
          <w:rFonts w:ascii="Arial" w:hAnsi="Arial" w:cs="Arial"/>
          <w:sz w:val="22"/>
        </w:rPr>
        <w:t>.</w:t>
      </w:r>
      <w:bookmarkStart w:id="2" w:name="_Ref452021043"/>
      <w:r>
        <w:rPr>
          <w:rStyle w:val="EndnoteReference"/>
          <w:rFonts w:ascii="Arial" w:hAnsi="Arial" w:cs="Arial"/>
          <w:sz w:val="22"/>
        </w:rPr>
        <w:endnoteReference w:id="52"/>
      </w:r>
      <w:bookmarkEnd w:id="2"/>
      <w:r w:rsidRPr="00465E8B">
        <w:rPr>
          <w:rFonts w:ascii="Arial" w:hAnsi="Arial" w:cs="Arial"/>
          <w:sz w:val="22"/>
        </w:rPr>
        <w:t xml:space="preserve"> </w:t>
      </w:r>
      <w:r>
        <w:rPr>
          <w:rFonts w:ascii="Arial" w:hAnsi="Arial" w:cs="Arial"/>
          <w:sz w:val="22"/>
        </w:rPr>
        <w:t>R</w:t>
      </w:r>
      <w:r w:rsidRPr="00465E8B">
        <w:rPr>
          <w:rFonts w:ascii="Arial" w:hAnsi="Arial" w:cs="Arial"/>
          <w:sz w:val="22"/>
        </w:rPr>
        <w:t xml:space="preserve">esearch staff will compile a summary report for each structural (question-based) code as a first level analysis of </w:t>
      </w:r>
      <w:r>
        <w:rPr>
          <w:rFonts w:ascii="Arial" w:hAnsi="Arial" w:cs="Arial"/>
          <w:sz w:val="22"/>
        </w:rPr>
        <w:t>notable</w:t>
      </w:r>
      <w:r w:rsidRPr="00465E8B">
        <w:rPr>
          <w:rFonts w:ascii="Arial" w:hAnsi="Arial" w:cs="Arial"/>
          <w:sz w:val="22"/>
        </w:rPr>
        <w:t xml:space="preserve"> themes related to each question. Subsequent analyses will </w:t>
      </w:r>
      <w:r>
        <w:rPr>
          <w:rFonts w:ascii="Arial" w:hAnsi="Arial" w:cs="Arial"/>
          <w:sz w:val="22"/>
        </w:rPr>
        <w:t xml:space="preserve">include running queries, generating code reports, and the development of code summary tables and memos, </w:t>
      </w:r>
      <w:r w:rsidRPr="00465E8B">
        <w:rPr>
          <w:rFonts w:ascii="Arial" w:hAnsi="Arial" w:cs="Arial"/>
          <w:sz w:val="22"/>
        </w:rPr>
        <w:t>incorporat</w:t>
      </w:r>
      <w:r>
        <w:rPr>
          <w:rFonts w:ascii="Arial" w:hAnsi="Arial" w:cs="Arial"/>
          <w:sz w:val="22"/>
        </w:rPr>
        <w:t>ing</w:t>
      </w:r>
      <w:r w:rsidRPr="00465E8B">
        <w:rPr>
          <w:rFonts w:ascii="Arial" w:hAnsi="Arial" w:cs="Arial"/>
          <w:sz w:val="22"/>
        </w:rPr>
        <w:t xml:space="preserve"> both structural and content-based (cross-cutting) codes to explore the range of thematic responses within and across stakeholder groups</w:t>
      </w:r>
      <w:r w:rsidR="00755A5B">
        <w:rPr>
          <w:rFonts w:ascii="Arial" w:hAnsi="Arial" w:cs="Arial"/>
          <w:sz w:val="22"/>
        </w:rPr>
        <w:t>.</w:t>
      </w:r>
      <w:r w:rsidR="00755A5B" w:rsidRPr="00755A5B">
        <w:rPr>
          <w:rFonts w:ascii="Arial" w:hAnsi="Arial" w:cs="Arial"/>
          <w:sz w:val="22"/>
          <w:vertAlign w:val="superscript"/>
        </w:rPr>
        <w:fldChar w:fldCharType="begin"/>
      </w:r>
      <w:r w:rsidR="00755A5B" w:rsidRPr="00755A5B">
        <w:rPr>
          <w:rFonts w:ascii="Arial" w:hAnsi="Arial" w:cs="Arial"/>
          <w:sz w:val="22"/>
          <w:vertAlign w:val="superscript"/>
        </w:rPr>
        <w:instrText xml:space="preserve"> NOTEREF _Ref452021043 \h </w:instrText>
      </w:r>
      <w:r w:rsidR="00755A5B">
        <w:rPr>
          <w:rFonts w:ascii="Arial" w:hAnsi="Arial" w:cs="Arial"/>
          <w:sz w:val="22"/>
          <w:vertAlign w:val="superscript"/>
        </w:rPr>
        <w:instrText xml:space="preserve"> \* MERGEFORMAT </w:instrText>
      </w:r>
      <w:r w:rsidR="00755A5B" w:rsidRPr="00755A5B">
        <w:rPr>
          <w:rFonts w:ascii="Arial" w:hAnsi="Arial" w:cs="Arial"/>
          <w:sz w:val="22"/>
          <w:vertAlign w:val="superscript"/>
        </w:rPr>
      </w:r>
      <w:r w:rsidR="00755A5B" w:rsidRPr="00755A5B">
        <w:rPr>
          <w:rFonts w:ascii="Arial" w:hAnsi="Arial" w:cs="Arial"/>
          <w:sz w:val="22"/>
          <w:vertAlign w:val="superscript"/>
        </w:rPr>
        <w:fldChar w:fldCharType="separate"/>
      </w:r>
      <w:r w:rsidR="00F454B4">
        <w:rPr>
          <w:rFonts w:ascii="Arial" w:hAnsi="Arial" w:cs="Arial"/>
          <w:sz w:val="22"/>
          <w:vertAlign w:val="superscript"/>
        </w:rPr>
        <w:t>51</w:t>
      </w:r>
      <w:r w:rsidR="00755A5B" w:rsidRPr="00755A5B">
        <w:rPr>
          <w:rFonts w:ascii="Arial" w:hAnsi="Arial" w:cs="Arial"/>
          <w:sz w:val="22"/>
          <w:vertAlign w:val="superscript"/>
        </w:rPr>
        <w:fldChar w:fldCharType="end"/>
      </w:r>
    </w:p>
    <w:p w:rsidR="00313AAD" w:rsidRDefault="00941C9D" w:rsidP="00EC1F9B">
      <w:pPr>
        <w:spacing w:before="120" w:line="240" w:lineRule="exact"/>
        <w:jc w:val="both"/>
        <w:rPr>
          <w:rFonts w:ascii="Arial" w:hAnsi="Arial" w:cs="Arial"/>
          <w:sz w:val="22"/>
        </w:rPr>
      </w:pPr>
      <w:r>
        <w:rPr>
          <w:rFonts w:ascii="Arial" w:hAnsi="Arial" w:cs="Arial"/>
          <w:sz w:val="22"/>
        </w:rPr>
        <w:t>5</w:t>
      </w:r>
      <w:r w:rsidR="00313AAD" w:rsidRPr="00941C9D">
        <w:rPr>
          <w:rFonts w:ascii="Arial" w:hAnsi="Arial" w:cs="Arial"/>
          <w:sz w:val="22"/>
        </w:rPr>
        <w:t>.</w:t>
      </w:r>
      <w:r>
        <w:rPr>
          <w:rFonts w:ascii="Arial" w:hAnsi="Arial" w:cs="Arial"/>
          <w:sz w:val="22"/>
        </w:rPr>
        <w:t xml:space="preserve"> </w:t>
      </w:r>
      <w:r w:rsidR="00563547" w:rsidRPr="00563547">
        <w:rPr>
          <w:rFonts w:ascii="Arial" w:hAnsi="Arial" w:cs="Arial"/>
          <w:i/>
          <w:sz w:val="22"/>
          <w:u w:val="single"/>
        </w:rPr>
        <w:t>Expected outcomes and d</w:t>
      </w:r>
      <w:r w:rsidR="00313AAD" w:rsidRPr="00563547">
        <w:rPr>
          <w:rFonts w:ascii="Arial" w:hAnsi="Arial" w:cs="Arial"/>
          <w:i/>
          <w:sz w:val="22"/>
          <w:u w:val="single"/>
        </w:rPr>
        <w:t>issemination</w:t>
      </w:r>
      <w:r w:rsidR="00313AAD" w:rsidRPr="009970D3">
        <w:rPr>
          <w:rFonts w:ascii="Arial" w:hAnsi="Arial" w:cs="Arial"/>
          <w:sz w:val="22"/>
        </w:rPr>
        <w:t xml:space="preserve">: </w:t>
      </w:r>
      <w:r w:rsidR="00313AAD">
        <w:rPr>
          <w:rFonts w:ascii="Arial" w:hAnsi="Arial" w:cs="Arial"/>
          <w:sz w:val="22"/>
        </w:rPr>
        <w:t>The</w:t>
      </w:r>
      <w:r w:rsidR="00313AAD" w:rsidRPr="009970D3">
        <w:rPr>
          <w:rFonts w:ascii="Arial" w:hAnsi="Arial" w:cs="Arial"/>
          <w:sz w:val="22"/>
        </w:rPr>
        <w:t xml:space="preserve"> results </w:t>
      </w:r>
      <w:r w:rsidR="00313AAD">
        <w:rPr>
          <w:rFonts w:ascii="Arial" w:hAnsi="Arial" w:cs="Arial"/>
          <w:sz w:val="22"/>
        </w:rPr>
        <w:t xml:space="preserve">of this Aim </w:t>
      </w:r>
      <w:r w:rsidR="00313AAD" w:rsidRPr="009970D3">
        <w:rPr>
          <w:rFonts w:ascii="Arial" w:hAnsi="Arial" w:cs="Arial"/>
          <w:sz w:val="22"/>
        </w:rPr>
        <w:t xml:space="preserve">will provide a comprehensive view of thought-leader perspectives at a time of major paradigm shifts in approaches to </w:t>
      </w:r>
      <w:r w:rsidR="00313AAD">
        <w:rPr>
          <w:rFonts w:ascii="Arial" w:hAnsi="Arial" w:cs="Arial"/>
          <w:sz w:val="22"/>
        </w:rPr>
        <w:t>mobile data collection for health-related research</w:t>
      </w:r>
      <w:r w:rsidR="00313AAD" w:rsidRPr="009970D3">
        <w:rPr>
          <w:rFonts w:ascii="Arial" w:hAnsi="Arial" w:cs="Arial"/>
          <w:sz w:val="22"/>
        </w:rPr>
        <w:t xml:space="preserve">. Our findings will be disseminated in at least one manuscript (and likely more, based on the </w:t>
      </w:r>
      <w:r w:rsidR="00313AAD">
        <w:rPr>
          <w:rFonts w:ascii="Arial" w:hAnsi="Arial" w:cs="Arial"/>
          <w:sz w:val="22"/>
        </w:rPr>
        <w:t xml:space="preserve">expected </w:t>
      </w:r>
      <w:r w:rsidR="00313AAD" w:rsidRPr="009970D3">
        <w:rPr>
          <w:rFonts w:ascii="Arial" w:hAnsi="Arial" w:cs="Arial"/>
          <w:sz w:val="22"/>
        </w:rPr>
        <w:t>density of the data)</w:t>
      </w:r>
      <w:r w:rsidR="00313AAD">
        <w:rPr>
          <w:rFonts w:ascii="Arial" w:hAnsi="Arial" w:cs="Arial"/>
          <w:sz w:val="22"/>
        </w:rPr>
        <w:t>, as well as at professional conferences</w:t>
      </w:r>
      <w:r w:rsidR="00313AAD" w:rsidRPr="009970D3">
        <w:rPr>
          <w:rFonts w:ascii="Arial" w:hAnsi="Arial" w:cs="Arial"/>
          <w:sz w:val="22"/>
        </w:rPr>
        <w:t xml:space="preserve">. These data will also </w:t>
      </w:r>
      <w:r w:rsidR="00313AAD">
        <w:rPr>
          <w:rFonts w:ascii="Arial" w:hAnsi="Arial" w:cs="Arial"/>
          <w:sz w:val="22"/>
        </w:rPr>
        <w:t xml:space="preserve">provide expert evidence for </w:t>
      </w:r>
      <w:r w:rsidR="00313AAD" w:rsidRPr="00036E52">
        <w:rPr>
          <w:rFonts w:ascii="Arial" w:hAnsi="Arial" w:cs="Arial"/>
          <w:sz w:val="22"/>
        </w:rPr>
        <w:t>our Aim 2</w:t>
      </w:r>
      <w:r w:rsidR="00313AAD">
        <w:rPr>
          <w:rFonts w:ascii="Arial" w:hAnsi="Arial" w:cs="Arial"/>
          <w:sz w:val="22"/>
        </w:rPr>
        <w:t xml:space="preserve"> analyses and consensus process; specifically:</w:t>
      </w:r>
    </w:p>
    <w:p w:rsidR="00313AAD" w:rsidRDefault="00313AAD" w:rsidP="009A5F5D">
      <w:pPr>
        <w:pStyle w:val="ListParagraph"/>
        <w:numPr>
          <w:ilvl w:val="0"/>
          <w:numId w:val="1"/>
        </w:numPr>
        <w:tabs>
          <w:tab w:val="left" w:pos="540"/>
        </w:tabs>
        <w:spacing w:line="240" w:lineRule="exact"/>
        <w:ind w:left="270" w:firstLine="0"/>
        <w:contextualSpacing w:val="0"/>
        <w:jc w:val="both"/>
        <w:rPr>
          <w:rFonts w:ascii="Arial" w:hAnsi="Arial" w:cs="Arial"/>
          <w:sz w:val="22"/>
          <w:szCs w:val="22"/>
        </w:rPr>
      </w:pPr>
      <w:r>
        <w:rPr>
          <w:rFonts w:ascii="Arial" w:hAnsi="Arial" w:cs="Arial"/>
          <w:sz w:val="22"/>
          <w:szCs w:val="22"/>
        </w:rPr>
        <w:t>Preliminary results will be presented at Work</w:t>
      </w:r>
      <w:r w:rsidR="00941C9D">
        <w:rPr>
          <w:rFonts w:ascii="Arial" w:hAnsi="Arial" w:cs="Arial"/>
          <w:sz w:val="22"/>
          <w:szCs w:val="22"/>
        </w:rPr>
        <w:t>ing Group Meeting #</w:t>
      </w:r>
      <w:r>
        <w:rPr>
          <w:rFonts w:ascii="Arial" w:hAnsi="Arial" w:cs="Arial"/>
          <w:sz w:val="22"/>
          <w:szCs w:val="22"/>
        </w:rPr>
        <w:t>2</w:t>
      </w:r>
    </w:p>
    <w:p w:rsidR="00313AAD" w:rsidRDefault="00313AAD" w:rsidP="009A5F5D">
      <w:pPr>
        <w:pStyle w:val="ListParagraph"/>
        <w:numPr>
          <w:ilvl w:val="0"/>
          <w:numId w:val="1"/>
        </w:numPr>
        <w:tabs>
          <w:tab w:val="left" w:pos="540"/>
        </w:tabs>
        <w:spacing w:line="240" w:lineRule="exact"/>
        <w:ind w:left="270" w:firstLine="0"/>
        <w:contextualSpacing w:val="0"/>
        <w:jc w:val="both"/>
        <w:rPr>
          <w:rFonts w:ascii="Arial" w:hAnsi="Arial" w:cs="Arial"/>
          <w:sz w:val="22"/>
          <w:szCs w:val="22"/>
        </w:rPr>
      </w:pPr>
      <w:r>
        <w:rPr>
          <w:rFonts w:ascii="Arial" w:hAnsi="Arial" w:cs="Arial"/>
          <w:sz w:val="22"/>
          <w:szCs w:val="22"/>
        </w:rPr>
        <w:t>Final results will be presented at Work</w:t>
      </w:r>
      <w:r w:rsidR="00941C9D">
        <w:rPr>
          <w:rFonts w:ascii="Arial" w:hAnsi="Arial" w:cs="Arial"/>
          <w:sz w:val="22"/>
          <w:szCs w:val="22"/>
        </w:rPr>
        <w:t>ing Group Meeting #</w:t>
      </w:r>
      <w:r>
        <w:rPr>
          <w:rFonts w:ascii="Arial" w:hAnsi="Arial" w:cs="Arial"/>
          <w:sz w:val="22"/>
          <w:szCs w:val="22"/>
        </w:rPr>
        <w:t>3</w:t>
      </w:r>
    </w:p>
    <w:p w:rsidR="00313AAD" w:rsidRPr="00930297" w:rsidRDefault="00313AAD" w:rsidP="009A5F5D">
      <w:pPr>
        <w:pStyle w:val="ListParagraph"/>
        <w:numPr>
          <w:ilvl w:val="0"/>
          <w:numId w:val="1"/>
        </w:numPr>
        <w:tabs>
          <w:tab w:val="left" w:pos="540"/>
        </w:tabs>
        <w:spacing w:line="240" w:lineRule="exact"/>
        <w:ind w:left="540" w:hanging="270"/>
        <w:contextualSpacing w:val="0"/>
        <w:jc w:val="both"/>
        <w:rPr>
          <w:rFonts w:ascii="Arial" w:hAnsi="Arial" w:cs="Arial"/>
          <w:sz w:val="22"/>
          <w:szCs w:val="22"/>
        </w:rPr>
      </w:pPr>
      <w:r>
        <w:rPr>
          <w:rFonts w:ascii="Arial" w:hAnsi="Arial" w:cs="Arial"/>
          <w:sz w:val="22"/>
          <w:szCs w:val="22"/>
        </w:rPr>
        <w:t>Final results will be part of the evidence base considered during the Work</w:t>
      </w:r>
      <w:r w:rsidR="00941C9D">
        <w:rPr>
          <w:rFonts w:ascii="Arial" w:hAnsi="Arial" w:cs="Arial"/>
          <w:sz w:val="22"/>
          <w:szCs w:val="22"/>
        </w:rPr>
        <w:t>ing Group Meeting #</w:t>
      </w:r>
      <w:r>
        <w:rPr>
          <w:rFonts w:ascii="Arial" w:hAnsi="Arial" w:cs="Arial"/>
          <w:sz w:val="22"/>
          <w:szCs w:val="22"/>
        </w:rPr>
        <w:t>4 consensus process</w:t>
      </w:r>
    </w:p>
    <w:p w:rsidR="00313AAD" w:rsidRPr="00930297" w:rsidRDefault="00313AAD" w:rsidP="000D41B5">
      <w:pPr>
        <w:spacing w:after="60" w:line="240" w:lineRule="exact"/>
        <w:jc w:val="both"/>
        <w:rPr>
          <w:rFonts w:ascii="Arial" w:hAnsi="Arial" w:cs="Arial"/>
          <w:sz w:val="22"/>
        </w:rPr>
      </w:pPr>
      <w:r w:rsidRPr="00930297">
        <w:rPr>
          <w:rFonts w:ascii="Arial" w:hAnsi="Arial" w:cs="Arial"/>
          <w:sz w:val="22"/>
        </w:rPr>
        <w:t xml:space="preserve">In addition, the results will be presented </w:t>
      </w:r>
      <w:r>
        <w:rPr>
          <w:rFonts w:ascii="Arial" w:hAnsi="Arial" w:cs="Arial"/>
          <w:sz w:val="22"/>
        </w:rPr>
        <w:t>at</w:t>
      </w:r>
      <w:r w:rsidRPr="00930297">
        <w:rPr>
          <w:rFonts w:ascii="Arial" w:hAnsi="Arial" w:cs="Arial"/>
          <w:sz w:val="22"/>
        </w:rPr>
        <w:t xml:space="preserve"> </w:t>
      </w:r>
      <w:r>
        <w:rPr>
          <w:rFonts w:ascii="Arial" w:hAnsi="Arial" w:cs="Arial"/>
          <w:sz w:val="22"/>
        </w:rPr>
        <w:t xml:space="preserve">the </w:t>
      </w:r>
      <w:r w:rsidRPr="00930297">
        <w:rPr>
          <w:rFonts w:ascii="Arial" w:hAnsi="Arial" w:cs="Arial"/>
          <w:sz w:val="22"/>
        </w:rPr>
        <w:t>Aim 3 policy conference</w:t>
      </w:r>
      <w:r>
        <w:rPr>
          <w:rFonts w:ascii="Arial" w:hAnsi="Arial" w:cs="Arial"/>
          <w:sz w:val="22"/>
        </w:rPr>
        <w:t>,</w:t>
      </w:r>
      <w:r w:rsidRPr="00930297">
        <w:rPr>
          <w:rFonts w:ascii="Arial" w:hAnsi="Arial" w:cs="Arial"/>
          <w:sz w:val="22"/>
        </w:rPr>
        <w:t xml:space="preserve"> and will inform the content of </w:t>
      </w:r>
      <w:r w:rsidRPr="00930297">
        <w:rPr>
          <w:rFonts w:ascii="Arial" w:hAnsi="Arial"/>
          <w:sz w:val="22"/>
        </w:rPr>
        <w:t>app developer workshops and educational videos</w:t>
      </w:r>
      <w:r w:rsidRPr="00930297">
        <w:rPr>
          <w:rFonts w:ascii="Arial" w:hAnsi="Arial" w:cs="Arial"/>
          <w:sz w:val="22"/>
        </w:rPr>
        <w:t>.</w:t>
      </w:r>
    </w:p>
    <w:p w:rsidR="00313AAD" w:rsidRDefault="00941C9D" w:rsidP="00EC1F9B">
      <w:pPr>
        <w:spacing w:before="120" w:after="120" w:line="240" w:lineRule="exact"/>
        <w:jc w:val="both"/>
        <w:rPr>
          <w:rFonts w:ascii="Arial" w:hAnsi="Arial" w:cs="Arial"/>
          <w:sz w:val="22"/>
        </w:rPr>
      </w:pPr>
      <w:r>
        <w:rPr>
          <w:rFonts w:ascii="Arial" w:hAnsi="Arial" w:cs="Arial"/>
          <w:sz w:val="22"/>
        </w:rPr>
        <w:t>6</w:t>
      </w:r>
      <w:r w:rsidR="00313AAD" w:rsidRPr="00941C9D">
        <w:rPr>
          <w:rFonts w:ascii="Arial" w:hAnsi="Arial" w:cs="Arial"/>
          <w:sz w:val="22"/>
        </w:rPr>
        <w:t>.</w:t>
      </w:r>
      <w:r>
        <w:rPr>
          <w:rFonts w:ascii="Arial" w:hAnsi="Arial" w:cs="Arial"/>
          <w:sz w:val="22"/>
        </w:rPr>
        <w:t xml:space="preserve"> </w:t>
      </w:r>
      <w:r w:rsidR="00563547" w:rsidRPr="00563547">
        <w:rPr>
          <w:rFonts w:ascii="Arial" w:hAnsi="Arial" w:cs="Arial"/>
          <w:i/>
          <w:sz w:val="22"/>
          <w:u w:val="single"/>
        </w:rPr>
        <w:t>Potential problems and alternative s</w:t>
      </w:r>
      <w:r w:rsidR="00313AAD" w:rsidRPr="00563547">
        <w:rPr>
          <w:rFonts w:ascii="Arial" w:hAnsi="Arial" w:cs="Arial"/>
          <w:i/>
          <w:sz w:val="22"/>
          <w:u w:val="single"/>
        </w:rPr>
        <w:t>trategies</w:t>
      </w:r>
      <w:r w:rsidR="00313AAD" w:rsidRPr="000B33B9">
        <w:rPr>
          <w:rFonts w:ascii="Arial" w:hAnsi="Arial" w:cs="Arial"/>
          <w:sz w:val="22"/>
        </w:rPr>
        <w:t>:</w:t>
      </w:r>
      <w:r w:rsidR="00313AAD">
        <w:rPr>
          <w:rFonts w:ascii="Arial" w:hAnsi="Arial" w:cs="Arial"/>
          <w:sz w:val="22"/>
        </w:rPr>
        <w:t xml:space="preserve"> We</w:t>
      </w:r>
      <w:r w:rsidR="00313AAD" w:rsidRPr="000B33B9">
        <w:rPr>
          <w:rFonts w:ascii="Arial" w:hAnsi="Arial" w:cs="Arial"/>
          <w:sz w:val="22"/>
        </w:rPr>
        <w:t xml:space="preserve"> do not anticipate problems </w:t>
      </w:r>
      <w:r w:rsidR="00313AAD">
        <w:rPr>
          <w:rFonts w:ascii="Arial" w:hAnsi="Arial" w:cs="Arial"/>
          <w:sz w:val="22"/>
        </w:rPr>
        <w:t xml:space="preserve">achieving this Aim. Dr. Beskow has a demonstrated track record in conducting similar interviews on a range of ethics- and policy-related topics (see Biosketch). </w:t>
      </w:r>
      <w:r w:rsidR="00313AAD" w:rsidRPr="000B33B9">
        <w:rPr>
          <w:rFonts w:ascii="Arial" w:hAnsi="Arial" w:cs="Arial"/>
          <w:sz w:val="22"/>
        </w:rPr>
        <w:t xml:space="preserve">The primary challenge will be recruiting busy thought leaders </w:t>
      </w:r>
      <w:r w:rsidR="00313AAD">
        <w:rPr>
          <w:rFonts w:ascii="Arial" w:hAnsi="Arial" w:cs="Arial"/>
          <w:sz w:val="22"/>
        </w:rPr>
        <w:t>for</w:t>
      </w:r>
      <w:r w:rsidR="00313AAD" w:rsidRPr="000B33B9">
        <w:rPr>
          <w:rFonts w:ascii="Arial" w:hAnsi="Arial" w:cs="Arial"/>
          <w:sz w:val="22"/>
        </w:rPr>
        <w:t xml:space="preserve"> interview</w:t>
      </w:r>
      <w:r w:rsidR="00313AAD">
        <w:rPr>
          <w:rFonts w:ascii="Arial" w:hAnsi="Arial" w:cs="Arial"/>
          <w:sz w:val="22"/>
        </w:rPr>
        <w:t>s; h</w:t>
      </w:r>
      <w:r w:rsidR="00313AAD" w:rsidRPr="000B33B9">
        <w:rPr>
          <w:rFonts w:ascii="Arial" w:hAnsi="Arial" w:cs="Arial"/>
          <w:sz w:val="22"/>
        </w:rPr>
        <w:t xml:space="preserve">owever, </w:t>
      </w:r>
      <w:r w:rsidR="00313AAD">
        <w:rPr>
          <w:rFonts w:ascii="Arial" w:hAnsi="Arial" w:cs="Arial"/>
          <w:sz w:val="22"/>
        </w:rPr>
        <w:t>we will</w:t>
      </w:r>
      <w:r w:rsidR="00313AAD" w:rsidRPr="000B33B9">
        <w:rPr>
          <w:rFonts w:ascii="Arial" w:hAnsi="Arial" w:cs="Arial"/>
          <w:sz w:val="22"/>
        </w:rPr>
        <w:t xml:space="preserve"> draw </w:t>
      </w:r>
      <w:r w:rsidR="00313AAD">
        <w:rPr>
          <w:rFonts w:ascii="Arial" w:hAnsi="Arial" w:cs="Arial"/>
          <w:sz w:val="22"/>
        </w:rPr>
        <w:t>up</w:t>
      </w:r>
      <w:r w:rsidR="00313AAD" w:rsidRPr="000B33B9">
        <w:rPr>
          <w:rFonts w:ascii="Arial" w:hAnsi="Arial" w:cs="Arial"/>
          <w:sz w:val="22"/>
        </w:rPr>
        <w:t>on techniques</w:t>
      </w:r>
      <w:r w:rsidR="00313AAD">
        <w:rPr>
          <w:rFonts w:ascii="Arial" w:hAnsi="Arial" w:cs="Arial"/>
          <w:sz w:val="22"/>
        </w:rPr>
        <w:t xml:space="preserve"> used with success in previous studies, as well as leverage </w:t>
      </w:r>
      <w:r w:rsidR="00313AAD" w:rsidRPr="000B33B9">
        <w:rPr>
          <w:rFonts w:ascii="Arial" w:hAnsi="Arial" w:cs="Arial"/>
          <w:sz w:val="22"/>
        </w:rPr>
        <w:t xml:space="preserve">our relationships within the field to </w:t>
      </w:r>
      <w:r w:rsidR="00313AAD">
        <w:rPr>
          <w:rFonts w:ascii="Arial" w:hAnsi="Arial" w:cs="Arial"/>
          <w:sz w:val="22"/>
        </w:rPr>
        <w:t>identify appropriate candidates and solicit</w:t>
      </w:r>
      <w:r w:rsidR="00313AAD" w:rsidRPr="000B33B9">
        <w:rPr>
          <w:rFonts w:ascii="Arial" w:hAnsi="Arial" w:cs="Arial"/>
          <w:sz w:val="22"/>
        </w:rPr>
        <w:t xml:space="preserve"> participation.</w:t>
      </w:r>
      <w:r w:rsidR="00313AAD">
        <w:rPr>
          <w:rFonts w:ascii="Arial" w:hAnsi="Arial" w:cs="Arial"/>
          <w:sz w:val="22"/>
        </w:rPr>
        <w:t xml:space="preserve"> Finally, our timeline anticipates completing most if not all of the interviews between Work</w:t>
      </w:r>
      <w:r>
        <w:rPr>
          <w:rFonts w:ascii="Arial" w:hAnsi="Arial" w:cs="Arial"/>
          <w:sz w:val="22"/>
        </w:rPr>
        <w:t>ing Group Meeting #</w:t>
      </w:r>
      <w:r w:rsidR="00313AAD">
        <w:rPr>
          <w:rFonts w:ascii="Arial" w:hAnsi="Arial" w:cs="Arial"/>
          <w:sz w:val="22"/>
        </w:rPr>
        <w:t xml:space="preserve">1 and </w:t>
      </w:r>
      <w:r>
        <w:rPr>
          <w:rFonts w:ascii="Arial" w:hAnsi="Arial" w:cs="Arial"/>
          <w:sz w:val="22"/>
        </w:rPr>
        <w:t>#</w:t>
      </w:r>
      <w:r w:rsidR="00313AAD">
        <w:rPr>
          <w:rFonts w:ascii="Arial" w:hAnsi="Arial" w:cs="Arial"/>
          <w:sz w:val="22"/>
        </w:rPr>
        <w:t>2, but allows for any remaining interviews to be conducted and incorporated into the final analysis for presentation at Work</w:t>
      </w:r>
      <w:r>
        <w:rPr>
          <w:rFonts w:ascii="Arial" w:hAnsi="Arial" w:cs="Arial"/>
          <w:sz w:val="22"/>
        </w:rPr>
        <w:t>ing Group Meeting #</w:t>
      </w:r>
      <w:r w:rsidR="00313AAD">
        <w:rPr>
          <w:rFonts w:ascii="Arial" w:hAnsi="Arial" w:cs="Arial"/>
          <w:sz w:val="22"/>
        </w:rPr>
        <w:t>3.</w:t>
      </w:r>
    </w:p>
    <w:p w:rsidR="007C6605" w:rsidRDefault="007C6605" w:rsidP="004274B9">
      <w:pPr>
        <w:spacing w:before="120" w:after="60" w:line="220" w:lineRule="exact"/>
        <w:rPr>
          <w:rFonts w:ascii="Arial" w:hAnsi="Arial"/>
          <w:b/>
          <w:sz w:val="22"/>
        </w:rPr>
      </w:pPr>
      <w:r>
        <w:rPr>
          <w:rFonts w:ascii="Arial" w:hAnsi="Arial"/>
          <w:b/>
          <w:sz w:val="22"/>
        </w:rPr>
        <w:t xml:space="preserve">Aim 2: Develop a detailed analysis of the </w:t>
      </w:r>
      <w:r w:rsidR="00F55B20">
        <w:rPr>
          <w:rFonts w:ascii="Arial" w:hAnsi="Arial"/>
          <w:b/>
          <w:sz w:val="22"/>
        </w:rPr>
        <w:t>ELSI</w:t>
      </w:r>
      <w:r>
        <w:rPr>
          <w:rFonts w:ascii="Arial" w:hAnsi="Arial"/>
          <w:b/>
          <w:sz w:val="22"/>
        </w:rPr>
        <w:t xml:space="preserve"> issues in unregulated health research using mobile devices, including </w:t>
      </w:r>
      <w:r w:rsidR="00E7176D">
        <w:rPr>
          <w:rFonts w:ascii="Arial" w:hAnsi="Arial"/>
          <w:b/>
          <w:sz w:val="22"/>
        </w:rPr>
        <w:t xml:space="preserve">use of </w:t>
      </w:r>
      <w:r>
        <w:rPr>
          <w:rFonts w:ascii="Arial" w:hAnsi="Arial"/>
          <w:b/>
          <w:sz w:val="22"/>
        </w:rPr>
        <w:t>a consensus-building methodology.</w:t>
      </w:r>
    </w:p>
    <w:p w:rsidR="00B27851" w:rsidRPr="00B27851" w:rsidRDefault="00B27851" w:rsidP="00EC1F9B">
      <w:pPr>
        <w:spacing w:before="120" w:after="120" w:line="240" w:lineRule="exact"/>
        <w:jc w:val="both"/>
        <w:rPr>
          <w:rFonts w:ascii="Arial" w:hAnsi="Arial"/>
          <w:sz w:val="22"/>
        </w:rPr>
      </w:pPr>
      <w:r w:rsidRPr="00B27851">
        <w:rPr>
          <w:rFonts w:ascii="Arial" w:hAnsi="Arial"/>
          <w:sz w:val="22"/>
        </w:rPr>
        <w:t xml:space="preserve">The objective of Aim 2 is to facilitate expert analyses of the </w:t>
      </w:r>
      <w:r w:rsidR="00F91F79">
        <w:rPr>
          <w:rFonts w:ascii="Arial" w:hAnsi="Arial"/>
          <w:sz w:val="22"/>
        </w:rPr>
        <w:t>ELSI</w:t>
      </w:r>
      <w:r w:rsidRPr="00B27851">
        <w:rPr>
          <w:rFonts w:ascii="Arial" w:hAnsi="Arial"/>
          <w:sz w:val="22"/>
        </w:rPr>
        <w:t xml:space="preserve"> issues in unregulated mHealth research, and to reach consensus (whenever possible) on the appropriate approaches to these issues. To attain this objective, we have engaged a diverse Working Group, including technology experts, patient advocates, citizen scientists, physicians, bioethicists, legal academics, human subjects protections professionals, and social scientists. All individuals identified by name on the meeting schedules below are confirmed (see Letters of Support).</w:t>
      </w:r>
    </w:p>
    <w:p w:rsidR="00B27851" w:rsidRPr="00B27851" w:rsidRDefault="00B27851" w:rsidP="00EC1F9B">
      <w:pPr>
        <w:spacing w:before="120" w:after="120" w:line="240" w:lineRule="exact"/>
        <w:jc w:val="both"/>
        <w:rPr>
          <w:rFonts w:ascii="Arial" w:hAnsi="Arial"/>
          <w:sz w:val="22"/>
        </w:rPr>
      </w:pPr>
      <w:r w:rsidRPr="00B27851">
        <w:rPr>
          <w:rFonts w:ascii="Arial" w:hAnsi="Arial"/>
          <w:sz w:val="22"/>
        </w:rPr>
        <w:t xml:space="preserve">The Working Group will be convened in a series of three meetings involving expert presentations and moderated discussion, including our Aim 1 interview plans and results. These meetings, outlined in detail below, will last 1-1.5 days and will be scheduled in cities with convenient airline connections and good </w:t>
      </w:r>
      <w:r w:rsidRPr="00B27851">
        <w:rPr>
          <w:rFonts w:ascii="Arial" w:hAnsi="Arial"/>
          <w:sz w:val="22"/>
        </w:rPr>
        <w:lastRenderedPageBreak/>
        <w:t xml:space="preserve">meeting facilities. Some will include special guest speakers to help educate Working Group members on key topics. Overall, we will take many steps to ensure that all meetings are structured, efficient, and productive, including: (1) establishing clear goals in advance of each meeting; (2) providing specific guidance to speakers about the issues and questions to be addressed in their presentations; (3) asking all speakers to prepare a brief document summarizing the most important points to consider and policy questions surrounding their topic; (4) closely moderating the discussion to focus on attaining the meeting goals; (5) capturing the discussion via a dedicated </w:t>
      </w:r>
      <w:r w:rsidR="00F91F79">
        <w:rPr>
          <w:rFonts w:ascii="Arial" w:hAnsi="Arial"/>
          <w:sz w:val="22"/>
        </w:rPr>
        <w:t>rapporteur</w:t>
      </w:r>
      <w:r w:rsidRPr="00B27851">
        <w:rPr>
          <w:rFonts w:ascii="Arial" w:hAnsi="Arial"/>
          <w:sz w:val="22"/>
        </w:rPr>
        <w:t>; (6) synthesizing the presentations and discussion into a summary document after each meeting; and (7) distributing these summaries to Working Group members with emphasis on their relationship to past and future meetings. We will then hold a fourth Working Group meeting at which we will implement consensus development techniques (described below) to address key issues identified through the earlier meetings.</w:t>
      </w:r>
    </w:p>
    <w:tbl>
      <w:tblPr>
        <w:tblStyle w:val="TableGrid"/>
        <w:tblpPr w:leftFromText="180" w:rightFromText="180" w:vertAnchor="text" w:horzAnchor="margin" w:tblpXSpec="right" w:tblpY="1585"/>
        <w:tblW w:w="4139" w:type="pct"/>
        <w:tblLayout w:type="fixed"/>
        <w:tblLook w:val="04A0" w:firstRow="1" w:lastRow="0" w:firstColumn="1" w:lastColumn="0" w:noHBand="0" w:noVBand="1"/>
      </w:tblPr>
      <w:tblGrid>
        <w:gridCol w:w="2864"/>
        <w:gridCol w:w="1172"/>
        <w:gridCol w:w="1261"/>
        <w:gridCol w:w="1799"/>
        <w:gridCol w:w="1725"/>
      </w:tblGrid>
      <w:tr w:rsidR="00642344" w:rsidRPr="00E90CEF" w:rsidTr="00BA7D60">
        <w:trPr>
          <w:trHeight w:val="167"/>
        </w:trPr>
        <w:tc>
          <w:tcPr>
            <w:tcW w:w="5000" w:type="pct"/>
            <w:gridSpan w:val="5"/>
            <w:tcBorders>
              <w:top w:val="nil"/>
              <w:left w:val="nil"/>
              <w:bottom w:val="single" w:sz="18" w:space="0" w:color="auto"/>
              <w:right w:val="nil"/>
            </w:tcBorders>
            <w:vAlign w:val="bottom"/>
          </w:tcPr>
          <w:p w:rsidR="00642344" w:rsidRPr="0012222B" w:rsidRDefault="00642344" w:rsidP="00BA7D60">
            <w:pPr>
              <w:jc w:val="center"/>
              <w:rPr>
                <w:rFonts w:ascii="Arial" w:hAnsi="Arial"/>
                <w:b/>
                <w:sz w:val="20"/>
                <w:szCs w:val="20"/>
              </w:rPr>
            </w:pPr>
            <w:r>
              <w:rPr>
                <w:rFonts w:ascii="Arial" w:hAnsi="Arial"/>
                <w:b/>
                <w:sz w:val="20"/>
                <w:szCs w:val="20"/>
              </w:rPr>
              <w:t>Table 1</w:t>
            </w:r>
            <w:r w:rsidRPr="00642344">
              <w:rPr>
                <w:rFonts w:ascii="Arial" w:hAnsi="Arial"/>
                <w:sz w:val="20"/>
                <w:szCs w:val="20"/>
              </w:rPr>
              <w:t xml:space="preserve"> </w:t>
            </w:r>
            <w:r>
              <w:rPr>
                <w:rFonts w:ascii="Arial" w:hAnsi="Arial"/>
                <w:sz w:val="20"/>
                <w:szCs w:val="20"/>
              </w:rPr>
              <w:sym w:font="Symbol" w:char="F02D"/>
            </w:r>
            <w:r w:rsidRPr="00642344">
              <w:rPr>
                <w:rFonts w:ascii="Arial" w:hAnsi="Arial"/>
                <w:sz w:val="20"/>
                <w:szCs w:val="20"/>
              </w:rPr>
              <w:t xml:space="preserve"> </w:t>
            </w:r>
            <w:r w:rsidRPr="006F143C">
              <w:rPr>
                <w:rFonts w:ascii="Arial" w:hAnsi="Arial"/>
                <w:sz w:val="18"/>
                <w:szCs w:val="18"/>
              </w:rPr>
              <w:t>Working Group Roles</w:t>
            </w:r>
          </w:p>
        </w:tc>
      </w:tr>
      <w:tr w:rsidR="00BA7D60" w:rsidRPr="00E90CEF" w:rsidTr="00BA7D60">
        <w:trPr>
          <w:trHeight w:val="509"/>
        </w:trPr>
        <w:tc>
          <w:tcPr>
            <w:tcW w:w="1623" w:type="pct"/>
            <w:tcBorders>
              <w:left w:val="single" w:sz="18" w:space="0" w:color="auto"/>
            </w:tcBorders>
            <w:vAlign w:val="bottom"/>
          </w:tcPr>
          <w:p w:rsidR="006F143C" w:rsidRPr="006F143C" w:rsidRDefault="006F143C" w:rsidP="00BA7D60">
            <w:pPr>
              <w:jc w:val="center"/>
              <w:rPr>
                <w:rFonts w:ascii="Arial" w:hAnsi="Arial"/>
                <w:sz w:val="18"/>
                <w:szCs w:val="18"/>
              </w:rPr>
            </w:pPr>
          </w:p>
        </w:tc>
        <w:tc>
          <w:tcPr>
            <w:tcW w:w="664" w:type="pct"/>
            <w:vAlign w:val="bottom"/>
          </w:tcPr>
          <w:p w:rsidR="006F143C" w:rsidRPr="006F143C" w:rsidRDefault="006F143C" w:rsidP="00BA7D60">
            <w:pPr>
              <w:jc w:val="center"/>
              <w:rPr>
                <w:rFonts w:ascii="Arial" w:hAnsi="Arial"/>
                <w:sz w:val="18"/>
                <w:szCs w:val="18"/>
              </w:rPr>
            </w:pPr>
            <w:r w:rsidRPr="006F143C">
              <w:rPr>
                <w:rFonts w:ascii="Arial" w:hAnsi="Arial"/>
                <w:sz w:val="18"/>
                <w:szCs w:val="18"/>
              </w:rPr>
              <w:t>Attend Workshops 1-4</w:t>
            </w:r>
          </w:p>
        </w:tc>
        <w:tc>
          <w:tcPr>
            <w:tcW w:w="715" w:type="pct"/>
            <w:vAlign w:val="center"/>
          </w:tcPr>
          <w:p w:rsidR="006F143C" w:rsidRPr="006F143C" w:rsidRDefault="006F143C" w:rsidP="00BA7D60">
            <w:pPr>
              <w:jc w:val="center"/>
              <w:rPr>
                <w:rFonts w:ascii="Arial" w:hAnsi="Arial"/>
                <w:sz w:val="18"/>
                <w:szCs w:val="18"/>
              </w:rPr>
            </w:pPr>
            <w:r w:rsidRPr="006F143C">
              <w:rPr>
                <w:rFonts w:ascii="Arial" w:hAnsi="Arial"/>
                <w:sz w:val="18"/>
                <w:szCs w:val="18"/>
              </w:rPr>
              <w:t>Give a presentation</w:t>
            </w:r>
          </w:p>
        </w:tc>
        <w:tc>
          <w:tcPr>
            <w:tcW w:w="1020" w:type="pct"/>
            <w:vAlign w:val="center"/>
          </w:tcPr>
          <w:p w:rsidR="006F143C" w:rsidRPr="006F143C" w:rsidRDefault="006F143C" w:rsidP="00BA7D60">
            <w:pPr>
              <w:jc w:val="center"/>
              <w:rPr>
                <w:rFonts w:ascii="Arial" w:hAnsi="Arial"/>
                <w:sz w:val="18"/>
                <w:szCs w:val="18"/>
              </w:rPr>
            </w:pPr>
            <w:r w:rsidRPr="006F143C">
              <w:rPr>
                <w:rFonts w:ascii="Arial" w:hAnsi="Arial"/>
                <w:sz w:val="18"/>
                <w:szCs w:val="18"/>
              </w:rPr>
              <w:t>Research and write topic-specific paper</w:t>
            </w:r>
          </w:p>
        </w:tc>
        <w:tc>
          <w:tcPr>
            <w:tcW w:w="979" w:type="pct"/>
            <w:tcBorders>
              <w:right w:val="single" w:sz="18" w:space="0" w:color="auto"/>
            </w:tcBorders>
            <w:vAlign w:val="bottom"/>
          </w:tcPr>
          <w:p w:rsidR="006F143C" w:rsidRPr="006F143C" w:rsidRDefault="006F143C" w:rsidP="00BA7D60">
            <w:pPr>
              <w:jc w:val="center"/>
              <w:rPr>
                <w:rFonts w:ascii="Arial" w:hAnsi="Arial"/>
                <w:sz w:val="18"/>
                <w:szCs w:val="18"/>
              </w:rPr>
            </w:pPr>
            <w:r w:rsidRPr="006F143C">
              <w:rPr>
                <w:rFonts w:ascii="Arial" w:hAnsi="Arial"/>
                <w:sz w:val="18"/>
                <w:szCs w:val="18"/>
              </w:rPr>
              <w:t>Author on recommendations paper</w:t>
            </w:r>
          </w:p>
        </w:tc>
      </w:tr>
      <w:tr w:rsidR="00BA7D60" w:rsidRPr="00E90CEF" w:rsidTr="00BA7D60">
        <w:trPr>
          <w:trHeight w:val="231"/>
        </w:trPr>
        <w:tc>
          <w:tcPr>
            <w:tcW w:w="1623" w:type="pct"/>
            <w:tcBorders>
              <w:left w:val="single" w:sz="18" w:space="0" w:color="auto"/>
            </w:tcBorders>
            <w:vAlign w:val="center"/>
          </w:tcPr>
          <w:p w:rsidR="006F143C" w:rsidRPr="006F143C" w:rsidRDefault="006F143C" w:rsidP="00BA7D60">
            <w:pPr>
              <w:spacing w:before="40" w:after="40"/>
              <w:rPr>
                <w:rFonts w:ascii="Arial" w:hAnsi="Arial"/>
                <w:sz w:val="18"/>
                <w:szCs w:val="18"/>
              </w:rPr>
            </w:pPr>
            <w:r w:rsidRPr="006F143C">
              <w:rPr>
                <w:rFonts w:ascii="Arial" w:hAnsi="Arial"/>
                <w:sz w:val="18"/>
                <w:szCs w:val="18"/>
              </w:rPr>
              <w:t>Working Group/Author (n=15)</w:t>
            </w:r>
          </w:p>
        </w:tc>
        <w:tc>
          <w:tcPr>
            <w:tcW w:w="664" w:type="pct"/>
            <w:vAlign w:val="center"/>
          </w:tcPr>
          <w:p w:rsidR="006F143C" w:rsidRPr="006F143C" w:rsidRDefault="006F143C" w:rsidP="00BA7D60">
            <w:pPr>
              <w:spacing w:before="40" w:after="40"/>
              <w:jc w:val="center"/>
              <w:rPr>
                <w:rFonts w:ascii="Arial" w:hAnsi="Arial"/>
                <w:sz w:val="18"/>
                <w:szCs w:val="18"/>
              </w:rPr>
            </w:pPr>
            <w:r w:rsidRPr="006F143C">
              <w:rPr>
                <w:rFonts w:ascii="Arial" w:hAnsi="Arial"/>
                <w:sz w:val="18"/>
                <w:szCs w:val="18"/>
              </w:rPr>
              <w:t>Yes</w:t>
            </w:r>
          </w:p>
        </w:tc>
        <w:tc>
          <w:tcPr>
            <w:tcW w:w="715" w:type="pct"/>
            <w:vAlign w:val="center"/>
          </w:tcPr>
          <w:p w:rsidR="006F143C" w:rsidRPr="006F143C" w:rsidRDefault="006F143C" w:rsidP="00BA7D60">
            <w:pPr>
              <w:spacing w:before="40" w:after="40"/>
              <w:jc w:val="center"/>
              <w:rPr>
                <w:rFonts w:ascii="Arial" w:hAnsi="Arial"/>
                <w:sz w:val="18"/>
                <w:szCs w:val="18"/>
              </w:rPr>
            </w:pPr>
            <w:r w:rsidRPr="006F143C">
              <w:rPr>
                <w:rFonts w:ascii="Arial" w:hAnsi="Arial"/>
                <w:sz w:val="18"/>
                <w:szCs w:val="18"/>
              </w:rPr>
              <w:t>Yes</w:t>
            </w:r>
          </w:p>
        </w:tc>
        <w:tc>
          <w:tcPr>
            <w:tcW w:w="1020" w:type="pct"/>
            <w:vAlign w:val="center"/>
          </w:tcPr>
          <w:p w:rsidR="006F143C" w:rsidRPr="006F143C" w:rsidRDefault="006F143C" w:rsidP="00BA7D60">
            <w:pPr>
              <w:spacing w:before="40" w:after="40"/>
              <w:jc w:val="center"/>
              <w:rPr>
                <w:rFonts w:ascii="Arial" w:hAnsi="Arial"/>
                <w:sz w:val="18"/>
                <w:szCs w:val="18"/>
              </w:rPr>
            </w:pPr>
            <w:r w:rsidRPr="006F143C">
              <w:rPr>
                <w:rFonts w:ascii="Arial" w:hAnsi="Arial"/>
                <w:sz w:val="18"/>
                <w:szCs w:val="18"/>
              </w:rPr>
              <w:t>Yes</w:t>
            </w:r>
          </w:p>
        </w:tc>
        <w:tc>
          <w:tcPr>
            <w:tcW w:w="979" w:type="pct"/>
            <w:tcBorders>
              <w:right w:val="single" w:sz="18" w:space="0" w:color="auto"/>
            </w:tcBorders>
            <w:vAlign w:val="center"/>
          </w:tcPr>
          <w:p w:rsidR="006F143C" w:rsidRPr="006F143C" w:rsidRDefault="006F143C" w:rsidP="00BA7D60">
            <w:pPr>
              <w:spacing w:before="40" w:after="40"/>
              <w:jc w:val="center"/>
              <w:rPr>
                <w:rFonts w:ascii="Arial" w:hAnsi="Arial"/>
                <w:sz w:val="18"/>
                <w:szCs w:val="18"/>
              </w:rPr>
            </w:pPr>
            <w:r w:rsidRPr="006F143C">
              <w:rPr>
                <w:rFonts w:ascii="Arial" w:hAnsi="Arial"/>
                <w:sz w:val="18"/>
                <w:szCs w:val="18"/>
              </w:rPr>
              <w:t>Yes</w:t>
            </w:r>
          </w:p>
        </w:tc>
      </w:tr>
      <w:tr w:rsidR="00BA7D60" w:rsidRPr="00E90CEF" w:rsidTr="00BA7D60">
        <w:trPr>
          <w:trHeight w:val="221"/>
        </w:trPr>
        <w:tc>
          <w:tcPr>
            <w:tcW w:w="1623" w:type="pct"/>
            <w:tcBorders>
              <w:left w:val="single" w:sz="18" w:space="0" w:color="auto"/>
            </w:tcBorders>
            <w:shd w:val="clear" w:color="auto" w:fill="auto"/>
            <w:vAlign w:val="center"/>
          </w:tcPr>
          <w:p w:rsidR="006F143C" w:rsidRPr="006F143C" w:rsidRDefault="006F143C" w:rsidP="00BA7D60">
            <w:pPr>
              <w:spacing w:before="40" w:after="40"/>
              <w:rPr>
                <w:rFonts w:ascii="Arial" w:hAnsi="Arial"/>
                <w:sz w:val="18"/>
                <w:szCs w:val="18"/>
              </w:rPr>
            </w:pPr>
            <w:r w:rsidRPr="006F143C">
              <w:rPr>
                <w:rFonts w:ascii="Arial" w:hAnsi="Arial"/>
                <w:sz w:val="18"/>
                <w:szCs w:val="18"/>
              </w:rPr>
              <w:t>Working Group/Speaker (n=3)</w:t>
            </w:r>
          </w:p>
        </w:tc>
        <w:tc>
          <w:tcPr>
            <w:tcW w:w="664" w:type="pct"/>
            <w:shd w:val="clear" w:color="auto" w:fill="auto"/>
            <w:vAlign w:val="center"/>
          </w:tcPr>
          <w:p w:rsidR="006F143C" w:rsidRPr="006F143C" w:rsidRDefault="006F143C" w:rsidP="00BA7D60">
            <w:pPr>
              <w:spacing w:before="40" w:after="40"/>
              <w:jc w:val="center"/>
              <w:rPr>
                <w:rFonts w:ascii="Arial" w:hAnsi="Arial"/>
                <w:sz w:val="18"/>
                <w:szCs w:val="18"/>
              </w:rPr>
            </w:pPr>
            <w:r w:rsidRPr="006F143C">
              <w:rPr>
                <w:rFonts w:ascii="Arial" w:hAnsi="Arial"/>
                <w:sz w:val="18"/>
                <w:szCs w:val="18"/>
              </w:rPr>
              <w:t>Yes</w:t>
            </w:r>
          </w:p>
        </w:tc>
        <w:tc>
          <w:tcPr>
            <w:tcW w:w="715" w:type="pct"/>
            <w:shd w:val="clear" w:color="auto" w:fill="auto"/>
            <w:vAlign w:val="center"/>
          </w:tcPr>
          <w:p w:rsidR="006F143C" w:rsidRPr="006F143C" w:rsidRDefault="006F143C" w:rsidP="00BA7D60">
            <w:pPr>
              <w:spacing w:before="40" w:after="40"/>
              <w:jc w:val="center"/>
              <w:rPr>
                <w:rFonts w:ascii="Arial" w:hAnsi="Arial"/>
                <w:sz w:val="18"/>
                <w:szCs w:val="18"/>
              </w:rPr>
            </w:pPr>
            <w:r w:rsidRPr="006F143C">
              <w:rPr>
                <w:rFonts w:ascii="Arial" w:hAnsi="Arial"/>
                <w:sz w:val="18"/>
                <w:szCs w:val="18"/>
              </w:rPr>
              <w:t>Yes</w:t>
            </w:r>
          </w:p>
        </w:tc>
        <w:tc>
          <w:tcPr>
            <w:tcW w:w="1020" w:type="pct"/>
            <w:shd w:val="clear" w:color="auto" w:fill="auto"/>
            <w:vAlign w:val="center"/>
          </w:tcPr>
          <w:p w:rsidR="006F143C" w:rsidRPr="006F143C" w:rsidRDefault="006F143C" w:rsidP="00BA7D60">
            <w:pPr>
              <w:spacing w:before="40" w:after="40"/>
              <w:jc w:val="center"/>
              <w:rPr>
                <w:rFonts w:ascii="Arial" w:hAnsi="Arial"/>
                <w:sz w:val="18"/>
                <w:szCs w:val="18"/>
              </w:rPr>
            </w:pPr>
            <w:r w:rsidRPr="006F143C">
              <w:rPr>
                <w:rFonts w:ascii="Arial" w:hAnsi="Arial"/>
                <w:sz w:val="18"/>
                <w:szCs w:val="18"/>
              </w:rPr>
              <w:t>No*</w:t>
            </w:r>
          </w:p>
        </w:tc>
        <w:tc>
          <w:tcPr>
            <w:tcW w:w="979" w:type="pct"/>
            <w:tcBorders>
              <w:right w:val="single" w:sz="18" w:space="0" w:color="auto"/>
            </w:tcBorders>
            <w:shd w:val="clear" w:color="auto" w:fill="auto"/>
            <w:vAlign w:val="center"/>
          </w:tcPr>
          <w:p w:rsidR="006F143C" w:rsidRPr="006F143C" w:rsidRDefault="006F143C" w:rsidP="00BA7D60">
            <w:pPr>
              <w:spacing w:before="40" w:after="40"/>
              <w:jc w:val="center"/>
              <w:rPr>
                <w:rFonts w:ascii="Arial" w:hAnsi="Arial"/>
                <w:sz w:val="18"/>
                <w:szCs w:val="18"/>
              </w:rPr>
            </w:pPr>
            <w:r w:rsidRPr="006F143C">
              <w:rPr>
                <w:rFonts w:ascii="Arial" w:hAnsi="Arial"/>
                <w:sz w:val="18"/>
                <w:szCs w:val="18"/>
              </w:rPr>
              <w:t>Yes</w:t>
            </w:r>
          </w:p>
        </w:tc>
      </w:tr>
      <w:tr w:rsidR="00BA7D60" w:rsidRPr="00E90CEF" w:rsidTr="00BA7D60">
        <w:trPr>
          <w:trHeight w:val="231"/>
        </w:trPr>
        <w:tc>
          <w:tcPr>
            <w:tcW w:w="1623" w:type="pct"/>
            <w:tcBorders>
              <w:left w:val="single" w:sz="18" w:space="0" w:color="auto"/>
              <w:bottom w:val="single" w:sz="18" w:space="0" w:color="auto"/>
            </w:tcBorders>
            <w:shd w:val="clear" w:color="auto" w:fill="auto"/>
            <w:vAlign w:val="center"/>
          </w:tcPr>
          <w:p w:rsidR="006F143C" w:rsidRPr="006F143C" w:rsidRDefault="006F143C" w:rsidP="00BA7D60">
            <w:pPr>
              <w:spacing w:before="40" w:after="40"/>
              <w:rPr>
                <w:rFonts w:ascii="Arial" w:hAnsi="Arial"/>
                <w:sz w:val="18"/>
                <w:szCs w:val="18"/>
              </w:rPr>
            </w:pPr>
            <w:r w:rsidRPr="006F143C">
              <w:rPr>
                <w:rFonts w:ascii="Arial" w:hAnsi="Arial"/>
                <w:sz w:val="18"/>
                <w:szCs w:val="18"/>
              </w:rPr>
              <w:t>Working Group/Discussant (n=6)</w:t>
            </w:r>
          </w:p>
        </w:tc>
        <w:tc>
          <w:tcPr>
            <w:tcW w:w="664" w:type="pct"/>
            <w:tcBorders>
              <w:bottom w:val="single" w:sz="18" w:space="0" w:color="auto"/>
            </w:tcBorders>
            <w:shd w:val="clear" w:color="auto" w:fill="auto"/>
            <w:vAlign w:val="center"/>
          </w:tcPr>
          <w:p w:rsidR="006F143C" w:rsidRPr="006F143C" w:rsidRDefault="006F143C" w:rsidP="00BA7D60">
            <w:pPr>
              <w:spacing w:before="40" w:after="40"/>
              <w:jc w:val="center"/>
              <w:rPr>
                <w:rFonts w:ascii="Arial" w:hAnsi="Arial"/>
                <w:sz w:val="18"/>
                <w:szCs w:val="18"/>
              </w:rPr>
            </w:pPr>
            <w:r w:rsidRPr="006F143C">
              <w:rPr>
                <w:rFonts w:ascii="Arial" w:hAnsi="Arial"/>
                <w:sz w:val="18"/>
                <w:szCs w:val="18"/>
              </w:rPr>
              <w:t>Yes</w:t>
            </w:r>
          </w:p>
        </w:tc>
        <w:tc>
          <w:tcPr>
            <w:tcW w:w="715" w:type="pct"/>
            <w:tcBorders>
              <w:bottom w:val="single" w:sz="18" w:space="0" w:color="auto"/>
            </w:tcBorders>
            <w:shd w:val="clear" w:color="auto" w:fill="auto"/>
            <w:vAlign w:val="center"/>
          </w:tcPr>
          <w:p w:rsidR="006F143C" w:rsidRPr="006F143C" w:rsidRDefault="006F143C" w:rsidP="00BA7D60">
            <w:pPr>
              <w:spacing w:before="40" w:after="40"/>
              <w:jc w:val="center"/>
              <w:rPr>
                <w:rFonts w:ascii="Arial" w:hAnsi="Arial"/>
                <w:sz w:val="18"/>
                <w:szCs w:val="18"/>
              </w:rPr>
            </w:pPr>
            <w:r w:rsidRPr="006F143C">
              <w:rPr>
                <w:rFonts w:ascii="Arial" w:hAnsi="Arial"/>
                <w:sz w:val="18"/>
                <w:szCs w:val="18"/>
              </w:rPr>
              <w:t>No</w:t>
            </w:r>
          </w:p>
        </w:tc>
        <w:tc>
          <w:tcPr>
            <w:tcW w:w="1020" w:type="pct"/>
            <w:tcBorders>
              <w:bottom w:val="single" w:sz="18" w:space="0" w:color="auto"/>
            </w:tcBorders>
            <w:shd w:val="clear" w:color="auto" w:fill="auto"/>
            <w:vAlign w:val="center"/>
          </w:tcPr>
          <w:p w:rsidR="006F143C" w:rsidRPr="006F143C" w:rsidRDefault="006F143C" w:rsidP="00BA7D60">
            <w:pPr>
              <w:spacing w:before="40" w:after="40"/>
              <w:jc w:val="center"/>
              <w:rPr>
                <w:rFonts w:ascii="Arial" w:hAnsi="Arial"/>
                <w:sz w:val="18"/>
                <w:szCs w:val="18"/>
              </w:rPr>
            </w:pPr>
            <w:r w:rsidRPr="006F143C">
              <w:rPr>
                <w:rFonts w:ascii="Arial" w:hAnsi="Arial"/>
                <w:sz w:val="18"/>
                <w:szCs w:val="18"/>
              </w:rPr>
              <w:t>No*</w:t>
            </w:r>
          </w:p>
        </w:tc>
        <w:tc>
          <w:tcPr>
            <w:tcW w:w="979" w:type="pct"/>
            <w:tcBorders>
              <w:bottom w:val="single" w:sz="18" w:space="0" w:color="auto"/>
              <w:right w:val="single" w:sz="18" w:space="0" w:color="auto"/>
            </w:tcBorders>
            <w:shd w:val="clear" w:color="auto" w:fill="auto"/>
            <w:vAlign w:val="center"/>
          </w:tcPr>
          <w:p w:rsidR="006F143C" w:rsidRPr="006F143C" w:rsidRDefault="006F143C" w:rsidP="00BA7D60">
            <w:pPr>
              <w:spacing w:before="40" w:after="40"/>
              <w:jc w:val="center"/>
              <w:rPr>
                <w:rFonts w:ascii="Arial" w:hAnsi="Arial"/>
                <w:sz w:val="18"/>
                <w:szCs w:val="18"/>
              </w:rPr>
            </w:pPr>
            <w:r w:rsidRPr="006F143C">
              <w:rPr>
                <w:rFonts w:ascii="Arial" w:hAnsi="Arial"/>
                <w:sz w:val="18"/>
                <w:szCs w:val="18"/>
              </w:rPr>
              <w:t>Yes</w:t>
            </w:r>
          </w:p>
        </w:tc>
      </w:tr>
      <w:tr w:rsidR="006F143C" w:rsidRPr="00E90CEF" w:rsidTr="00BA7D60">
        <w:trPr>
          <w:trHeight w:val="231"/>
        </w:trPr>
        <w:tc>
          <w:tcPr>
            <w:tcW w:w="5000" w:type="pct"/>
            <w:gridSpan w:val="5"/>
            <w:tcBorders>
              <w:top w:val="single" w:sz="18" w:space="0" w:color="auto"/>
              <w:left w:val="nil"/>
              <w:bottom w:val="nil"/>
              <w:right w:val="nil"/>
            </w:tcBorders>
            <w:shd w:val="clear" w:color="auto" w:fill="auto"/>
          </w:tcPr>
          <w:p w:rsidR="006F143C" w:rsidRPr="00EC1F9B" w:rsidRDefault="006F143C" w:rsidP="00BA7D60">
            <w:pPr>
              <w:spacing w:before="40" w:after="40"/>
              <w:rPr>
                <w:rFonts w:ascii="Arial" w:hAnsi="Arial"/>
                <w:sz w:val="18"/>
                <w:szCs w:val="18"/>
              </w:rPr>
            </w:pPr>
            <w:r w:rsidRPr="00EC1F9B">
              <w:rPr>
                <w:rFonts w:ascii="Arial" w:hAnsi="Arial"/>
                <w:sz w:val="18"/>
                <w:szCs w:val="18"/>
              </w:rPr>
              <w:t>* Although not currently committed to writing a paper, it is anticipated that some Working Group Speakers and Discussants may decide to join as co-authors on other papers or write their own.</w:t>
            </w:r>
          </w:p>
        </w:tc>
      </w:tr>
    </w:tbl>
    <w:p w:rsidR="00B27851" w:rsidRDefault="00B27851" w:rsidP="00EC1F9B">
      <w:pPr>
        <w:spacing w:before="120" w:after="120" w:line="240" w:lineRule="exact"/>
        <w:jc w:val="both"/>
        <w:rPr>
          <w:rFonts w:ascii="Arial" w:hAnsi="Arial"/>
          <w:sz w:val="22"/>
        </w:rPr>
      </w:pPr>
      <w:r w:rsidRPr="00B27851">
        <w:rPr>
          <w:rFonts w:ascii="Arial" w:hAnsi="Arial"/>
          <w:sz w:val="22"/>
        </w:rPr>
        <w:t>Working Group members (including key personnel on this grant) may have differen</w:t>
      </w:r>
      <w:r w:rsidR="00B046AE">
        <w:rPr>
          <w:rFonts w:ascii="Arial" w:hAnsi="Arial"/>
          <w:sz w:val="22"/>
        </w:rPr>
        <w:t>t roles in this process (</w:t>
      </w:r>
      <w:r w:rsidR="00636F31">
        <w:rPr>
          <w:rFonts w:ascii="Arial" w:hAnsi="Arial"/>
          <w:sz w:val="22"/>
        </w:rPr>
        <w:t>Table 1</w:t>
      </w:r>
      <w:r w:rsidRPr="00B27851">
        <w:rPr>
          <w:rFonts w:ascii="Arial" w:hAnsi="Arial"/>
          <w:sz w:val="22"/>
        </w:rPr>
        <w:t xml:space="preserve">). Most will be undertaking </w:t>
      </w:r>
      <w:r w:rsidR="00BB7D74">
        <w:rPr>
          <w:rFonts w:ascii="Arial" w:hAnsi="Arial"/>
          <w:sz w:val="22"/>
        </w:rPr>
        <w:t xml:space="preserve">an </w:t>
      </w:r>
      <w:r w:rsidRPr="00B27851">
        <w:rPr>
          <w:rFonts w:ascii="Arial" w:hAnsi="Arial"/>
          <w:sz w:val="22"/>
        </w:rPr>
        <w:t xml:space="preserve">in-depth analysis of an assigned topic and will present their findings to the Working Group for discussion and debate—which, in turn, will further inform their examination of the topic. They have committed to reporting their final analysis in an article for publication in a symposium issue of the </w:t>
      </w:r>
      <w:r w:rsidRPr="00B046AE">
        <w:rPr>
          <w:rFonts w:ascii="Arial" w:hAnsi="Arial"/>
          <w:i/>
          <w:sz w:val="22"/>
        </w:rPr>
        <w:t>Journal of Law, Medicine &amp; Ethics</w:t>
      </w:r>
      <w:r w:rsidRPr="00B27851">
        <w:rPr>
          <w:rFonts w:ascii="Arial" w:hAnsi="Arial"/>
          <w:sz w:val="22"/>
        </w:rPr>
        <w:t xml:space="preserve">. Other members are not currently planning to write an article (although may decide later to do so), but will be speakers and discussants at Working Group meetings. All Working Group members will be actively involved in identifying the most </w:t>
      </w:r>
      <w:r w:rsidR="00BB7D74">
        <w:rPr>
          <w:rFonts w:ascii="Arial" w:hAnsi="Arial"/>
          <w:sz w:val="22"/>
        </w:rPr>
        <w:t>significant</w:t>
      </w:r>
      <w:r w:rsidRPr="00B27851">
        <w:rPr>
          <w:rFonts w:ascii="Arial" w:hAnsi="Arial"/>
          <w:sz w:val="22"/>
        </w:rPr>
        <w:t xml:space="preserve"> unresolved issues, and will participate in the consensus development process to address these issues. The outcomes of this aim will be a major recommendations paper and symposium issue of </w:t>
      </w:r>
      <w:r w:rsidRPr="00B046AE">
        <w:rPr>
          <w:rFonts w:ascii="Arial" w:hAnsi="Arial"/>
          <w:i/>
          <w:sz w:val="22"/>
        </w:rPr>
        <w:t>JLME</w:t>
      </w:r>
      <w:r w:rsidRPr="00B27851">
        <w:rPr>
          <w:rFonts w:ascii="Arial" w:hAnsi="Arial"/>
          <w:sz w:val="22"/>
        </w:rPr>
        <w:t>, and the findings will directly inform our Aim 3 education and translation efforts.</w:t>
      </w:r>
    </w:p>
    <w:p w:rsidR="00F72D0F" w:rsidRDefault="004C3B2F" w:rsidP="00EC1F9B">
      <w:pPr>
        <w:spacing w:before="120" w:line="240" w:lineRule="exact"/>
        <w:jc w:val="both"/>
        <w:rPr>
          <w:rFonts w:ascii="Arial" w:hAnsi="Arial"/>
          <w:sz w:val="22"/>
        </w:rPr>
      </w:pPr>
      <w:r w:rsidRPr="00941C9D">
        <w:rPr>
          <w:rFonts w:ascii="Arial" w:hAnsi="Arial"/>
          <w:sz w:val="22"/>
        </w:rPr>
        <w:t>A detailed preliminary</w:t>
      </w:r>
      <w:r>
        <w:rPr>
          <w:rFonts w:ascii="Arial" w:hAnsi="Arial"/>
          <w:sz w:val="22"/>
        </w:rPr>
        <w:t xml:space="preserve"> </w:t>
      </w:r>
      <w:r w:rsidRPr="00941C9D">
        <w:rPr>
          <w:rFonts w:ascii="Arial" w:hAnsi="Arial"/>
          <w:sz w:val="22"/>
        </w:rPr>
        <w:t xml:space="preserve"> schedule for all meetings</w:t>
      </w:r>
      <w:r>
        <w:rPr>
          <w:rFonts w:ascii="Arial" w:hAnsi="Arial"/>
          <w:sz w:val="22"/>
        </w:rPr>
        <w:t xml:space="preserve"> appears in the Appendix, and </w:t>
      </w:r>
      <w:r w:rsidRPr="00941C9D">
        <w:rPr>
          <w:rFonts w:ascii="Arial" w:hAnsi="Arial"/>
          <w:sz w:val="22"/>
        </w:rPr>
        <w:t>summar</w:t>
      </w:r>
      <w:r>
        <w:rPr>
          <w:rFonts w:ascii="Arial" w:hAnsi="Arial"/>
          <w:sz w:val="22"/>
        </w:rPr>
        <w:t>ies</w:t>
      </w:r>
      <w:r w:rsidRPr="00941C9D">
        <w:rPr>
          <w:rFonts w:ascii="Arial" w:hAnsi="Arial"/>
          <w:sz w:val="22"/>
        </w:rPr>
        <w:t xml:space="preserve"> of </w:t>
      </w:r>
      <w:r>
        <w:rPr>
          <w:rFonts w:ascii="Arial" w:hAnsi="Arial"/>
          <w:sz w:val="22"/>
        </w:rPr>
        <w:t xml:space="preserve">all </w:t>
      </w:r>
      <w:r w:rsidRPr="00941C9D">
        <w:rPr>
          <w:rFonts w:ascii="Arial" w:hAnsi="Arial"/>
          <w:sz w:val="22"/>
        </w:rPr>
        <w:t>confirmed speakers and</w:t>
      </w:r>
      <w:r>
        <w:rPr>
          <w:rFonts w:ascii="Arial" w:hAnsi="Arial"/>
          <w:sz w:val="22"/>
        </w:rPr>
        <w:t xml:space="preserve"> topics for each meeting appear</w:t>
      </w:r>
      <w:r w:rsidRPr="00941C9D">
        <w:rPr>
          <w:rFonts w:ascii="Arial" w:hAnsi="Arial"/>
          <w:sz w:val="22"/>
        </w:rPr>
        <w:t xml:space="preserve"> </w:t>
      </w:r>
      <w:r>
        <w:rPr>
          <w:rFonts w:ascii="Arial" w:hAnsi="Arial"/>
          <w:sz w:val="22"/>
        </w:rPr>
        <w:t>in Table 2</w:t>
      </w:r>
      <w:r w:rsidRPr="00941C9D">
        <w:rPr>
          <w:rFonts w:ascii="Arial" w:hAnsi="Arial"/>
          <w:sz w:val="22"/>
        </w:rPr>
        <w:t>.</w:t>
      </w:r>
      <w:r>
        <w:rPr>
          <w:rFonts w:ascii="Arial" w:hAnsi="Arial"/>
          <w:sz w:val="22"/>
        </w:rPr>
        <w:t xml:space="preserve"> </w:t>
      </w:r>
      <w:r w:rsidRPr="00941C9D">
        <w:rPr>
          <w:rFonts w:ascii="Arial" w:hAnsi="Arial"/>
          <w:sz w:val="22"/>
        </w:rPr>
        <w:t xml:space="preserve"> Letters of support for all of these individuals are included</w:t>
      </w:r>
      <w:r>
        <w:rPr>
          <w:rFonts w:ascii="Arial" w:hAnsi="Arial"/>
          <w:sz w:val="22"/>
        </w:rPr>
        <w:t xml:space="preserve"> with this proposal</w:t>
      </w:r>
      <w:r w:rsidRPr="00941C9D">
        <w:rPr>
          <w:rFonts w:ascii="Arial" w:hAnsi="Arial"/>
          <w:sz w:val="22"/>
        </w:rPr>
        <w:t xml:space="preserve">. </w:t>
      </w:r>
    </w:p>
    <w:tbl>
      <w:tblPr>
        <w:tblStyle w:val="TableGrid"/>
        <w:tblW w:w="0" w:type="auto"/>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45"/>
        <w:gridCol w:w="4135"/>
        <w:gridCol w:w="3870"/>
      </w:tblGrid>
      <w:tr w:rsidR="004C3B2F" w:rsidTr="00642344">
        <w:trPr>
          <w:trHeight w:val="297"/>
          <w:jc w:val="center"/>
        </w:trPr>
        <w:tc>
          <w:tcPr>
            <w:tcW w:w="10250" w:type="dxa"/>
            <w:gridSpan w:val="3"/>
            <w:tcBorders>
              <w:top w:val="nil"/>
              <w:left w:val="nil"/>
              <w:bottom w:val="single" w:sz="18" w:space="0" w:color="auto"/>
              <w:right w:val="nil"/>
            </w:tcBorders>
            <w:vAlign w:val="center"/>
          </w:tcPr>
          <w:p w:rsidR="004C3B2F" w:rsidRPr="00F72D0F" w:rsidRDefault="004C3B2F" w:rsidP="004C3B2F">
            <w:pPr>
              <w:spacing w:line="240" w:lineRule="exact"/>
              <w:jc w:val="center"/>
              <w:rPr>
                <w:rFonts w:ascii="Arial" w:hAnsi="Arial"/>
                <w:b/>
                <w:sz w:val="20"/>
                <w:szCs w:val="20"/>
              </w:rPr>
            </w:pPr>
            <w:r w:rsidRPr="00F72D0F">
              <w:rPr>
                <w:rFonts w:ascii="Arial" w:hAnsi="Arial"/>
                <w:b/>
                <w:sz w:val="20"/>
                <w:szCs w:val="20"/>
              </w:rPr>
              <w:t xml:space="preserve">Table </w:t>
            </w:r>
            <w:r w:rsidRPr="00642344">
              <w:rPr>
                <w:rFonts w:ascii="Arial" w:hAnsi="Arial"/>
                <w:b/>
                <w:sz w:val="20"/>
                <w:szCs w:val="20"/>
              </w:rPr>
              <w:t>2</w:t>
            </w:r>
            <w:r w:rsidR="00642344" w:rsidRPr="00642344">
              <w:rPr>
                <w:rFonts w:ascii="Arial" w:hAnsi="Arial"/>
                <w:sz w:val="20"/>
                <w:szCs w:val="20"/>
              </w:rPr>
              <w:t xml:space="preserve"> </w:t>
            </w:r>
            <w:r w:rsidR="00642344" w:rsidRPr="00642344">
              <w:rPr>
                <w:rFonts w:ascii="Arial" w:hAnsi="Arial"/>
                <w:sz w:val="20"/>
                <w:szCs w:val="20"/>
              </w:rPr>
              <w:sym w:font="Symbol" w:char="F02D"/>
            </w:r>
            <w:r w:rsidR="00642344">
              <w:rPr>
                <w:rFonts w:ascii="Arial" w:hAnsi="Arial"/>
                <w:b/>
                <w:sz w:val="20"/>
                <w:szCs w:val="20"/>
              </w:rPr>
              <w:t xml:space="preserve"> </w:t>
            </w:r>
            <w:r w:rsidR="00642344" w:rsidRPr="00EC1F9B">
              <w:rPr>
                <w:rFonts w:ascii="Arial" w:hAnsi="Arial"/>
                <w:sz w:val="20"/>
                <w:szCs w:val="20"/>
              </w:rPr>
              <w:t>Working Group Discussants</w:t>
            </w:r>
          </w:p>
        </w:tc>
      </w:tr>
      <w:tr w:rsidR="00642344" w:rsidTr="00642344">
        <w:trPr>
          <w:trHeight w:val="90"/>
          <w:jc w:val="center"/>
        </w:trPr>
        <w:tc>
          <w:tcPr>
            <w:tcW w:w="2245" w:type="dxa"/>
            <w:tcBorders>
              <w:top w:val="single" w:sz="4" w:space="0" w:color="auto"/>
            </w:tcBorders>
            <w:vAlign w:val="center"/>
          </w:tcPr>
          <w:p w:rsidR="00642344" w:rsidRPr="00EC1F9B" w:rsidRDefault="00642344" w:rsidP="00EC1F9B">
            <w:pPr>
              <w:rPr>
                <w:rFonts w:ascii="Arial" w:hAnsi="Arial"/>
                <w:sz w:val="20"/>
                <w:szCs w:val="20"/>
              </w:rPr>
            </w:pPr>
            <w:r>
              <w:rPr>
                <w:rFonts w:ascii="Arial" w:hAnsi="Arial"/>
                <w:sz w:val="20"/>
                <w:szCs w:val="20"/>
              </w:rPr>
              <w:t>Name</w:t>
            </w:r>
          </w:p>
        </w:tc>
        <w:tc>
          <w:tcPr>
            <w:tcW w:w="4135" w:type="dxa"/>
            <w:tcBorders>
              <w:top w:val="single" w:sz="4" w:space="0" w:color="auto"/>
            </w:tcBorders>
            <w:vAlign w:val="center"/>
          </w:tcPr>
          <w:p w:rsidR="00642344" w:rsidRPr="00EC1F9B" w:rsidRDefault="00642344" w:rsidP="00642344">
            <w:pPr>
              <w:rPr>
                <w:rFonts w:ascii="Arial" w:hAnsi="Arial"/>
                <w:sz w:val="20"/>
                <w:szCs w:val="20"/>
              </w:rPr>
            </w:pPr>
            <w:r>
              <w:rPr>
                <w:rFonts w:ascii="Arial" w:hAnsi="Arial"/>
                <w:sz w:val="20"/>
                <w:szCs w:val="20"/>
              </w:rPr>
              <w:t>Title</w:t>
            </w:r>
          </w:p>
        </w:tc>
        <w:tc>
          <w:tcPr>
            <w:tcW w:w="3870" w:type="dxa"/>
            <w:tcBorders>
              <w:top w:val="single" w:sz="4" w:space="0" w:color="auto"/>
            </w:tcBorders>
            <w:vAlign w:val="center"/>
          </w:tcPr>
          <w:p w:rsidR="00642344" w:rsidRPr="00EC1F9B" w:rsidRDefault="00642344" w:rsidP="0079006A">
            <w:pPr>
              <w:rPr>
                <w:rFonts w:ascii="Arial" w:hAnsi="Arial"/>
                <w:sz w:val="20"/>
                <w:szCs w:val="20"/>
              </w:rPr>
            </w:pPr>
            <w:r>
              <w:rPr>
                <w:rFonts w:ascii="Arial" w:hAnsi="Arial"/>
                <w:sz w:val="20"/>
                <w:szCs w:val="20"/>
              </w:rPr>
              <w:t>Affiliation</w:t>
            </w:r>
          </w:p>
        </w:tc>
      </w:tr>
      <w:tr w:rsidR="0079006A" w:rsidTr="00BA7D60">
        <w:trPr>
          <w:trHeight w:val="90"/>
          <w:jc w:val="center"/>
        </w:trPr>
        <w:tc>
          <w:tcPr>
            <w:tcW w:w="2245" w:type="dxa"/>
            <w:tcBorders>
              <w:top w:val="single" w:sz="4" w:space="0" w:color="auto"/>
            </w:tcBorders>
            <w:vAlign w:val="center"/>
          </w:tcPr>
          <w:p w:rsidR="004C3B2F" w:rsidRPr="00EC1F9B" w:rsidRDefault="004C3B2F" w:rsidP="00642344">
            <w:pPr>
              <w:spacing w:before="120" w:after="120"/>
              <w:rPr>
                <w:rFonts w:ascii="Arial" w:hAnsi="Arial"/>
                <w:sz w:val="20"/>
                <w:szCs w:val="20"/>
              </w:rPr>
            </w:pPr>
            <w:r w:rsidRPr="00EC1F9B">
              <w:rPr>
                <w:rFonts w:ascii="Arial" w:hAnsi="Arial"/>
                <w:sz w:val="20"/>
                <w:szCs w:val="20"/>
              </w:rPr>
              <w:t>C</w:t>
            </w:r>
            <w:r w:rsidR="00642344">
              <w:rPr>
                <w:rFonts w:ascii="Arial" w:hAnsi="Arial"/>
                <w:sz w:val="20"/>
                <w:szCs w:val="20"/>
              </w:rPr>
              <w:t>ynthia</w:t>
            </w:r>
            <w:r w:rsidRPr="00EC1F9B">
              <w:rPr>
                <w:rFonts w:ascii="Arial" w:hAnsi="Arial"/>
                <w:sz w:val="20"/>
                <w:szCs w:val="20"/>
              </w:rPr>
              <w:t xml:space="preserve"> Geoghegan</w:t>
            </w:r>
          </w:p>
        </w:tc>
        <w:tc>
          <w:tcPr>
            <w:tcW w:w="4135" w:type="dxa"/>
            <w:tcBorders>
              <w:top w:val="single" w:sz="4" w:space="0" w:color="auto"/>
            </w:tcBorders>
            <w:vAlign w:val="center"/>
          </w:tcPr>
          <w:p w:rsidR="004C3B2F" w:rsidRPr="00EC1F9B" w:rsidRDefault="00642344" w:rsidP="00BA7D60">
            <w:pPr>
              <w:rPr>
                <w:rFonts w:ascii="Arial" w:hAnsi="Arial"/>
                <w:sz w:val="20"/>
                <w:szCs w:val="20"/>
              </w:rPr>
            </w:pPr>
            <w:r w:rsidRPr="00EC1F9B">
              <w:rPr>
                <w:rFonts w:ascii="Arial" w:hAnsi="Arial"/>
                <w:sz w:val="20"/>
                <w:szCs w:val="20"/>
              </w:rPr>
              <w:t xml:space="preserve">Patient </w:t>
            </w:r>
            <w:r w:rsidR="00BA7D60">
              <w:rPr>
                <w:rFonts w:ascii="Arial" w:hAnsi="Arial"/>
                <w:sz w:val="20"/>
                <w:szCs w:val="20"/>
              </w:rPr>
              <w:t>Representative</w:t>
            </w:r>
          </w:p>
        </w:tc>
        <w:tc>
          <w:tcPr>
            <w:tcW w:w="3870" w:type="dxa"/>
            <w:tcBorders>
              <w:top w:val="single" w:sz="4" w:space="0" w:color="auto"/>
            </w:tcBorders>
            <w:vAlign w:val="center"/>
          </w:tcPr>
          <w:p w:rsidR="004C3B2F" w:rsidRPr="00EC1F9B" w:rsidRDefault="00642344" w:rsidP="00BA7D60">
            <w:pPr>
              <w:rPr>
                <w:rFonts w:ascii="Arial" w:hAnsi="Arial"/>
                <w:sz w:val="20"/>
                <w:szCs w:val="20"/>
              </w:rPr>
            </w:pPr>
            <w:r w:rsidRPr="00EC1F9B">
              <w:rPr>
                <w:rFonts w:ascii="Arial" w:hAnsi="Arial"/>
                <w:sz w:val="20"/>
                <w:szCs w:val="20"/>
              </w:rPr>
              <w:t xml:space="preserve">Patients </w:t>
            </w:r>
            <w:r w:rsidR="00BA7D60">
              <w:rPr>
                <w:rFonts w:ascii="Arial" w:hAnsi="Arial"/>
                <w:sz w:val="20"/>
                <w:szCs w:val="20"/>
              </w:rPr>
              <w:t xml:space="preserve">&amp; </w:t>
            </w:r>
            <w:r w:rsidRPr="00EC1F9B">
              <w:rPr>
                <w:rFonts w:ascii="Arial" w:hAnsi="Arial"/>
                <w:sz w:val="20"/>
                <w:szCs w:val="20"/>
              </w:rPr>
              <w:t>Partners LLC</w:t>
            </w:r>
          </w:p>
        </w:tc>
      </w:tr>
      <w:tr w:rsidR="004C3B2F" w:rsidTr="00BA7D60">
        <w:trPr>
          <w:trHeight w:val="177"/>
          <w:jc w:val="center"/>
        </w:trPr>
        <w:tc>
          <w:tcPr>
            <w:tcW w:w="2245" w:type="dxa"/>
            <w:vAlign w:val="center"/>
          </w:tcPr>
          <w:p w:rsidR="004C3B2F" w:rsidRPr="00EC1F9B" w:rsidRDefault="004C3B2F" w:rsidP="00EC1F9B">
            <w:pPr>
              <w:rPr>
                <w:rFonts w:ascii="Arial" w:hAnsi="Arial"/>
                <w:sz w:val="20"/>
                <w:szCs w:val="20"/>
              </w:rPr>
            </w:pPr>
            <w:r w:rsidRPr="00EC1F9B">
              <w:rPr>
                <w:rFonts w:ascii="Arial" w:hAnsi="Arial"/>
                <w:sz w:val="20"/>
                <w:szCs w:val="20"/>
              </w:rPr>
              <w:t>Henry T. Greely, J.D.</w:t>
            </w:r>
          </w:p>
        </w:tc>
        <w:tc>
          <w:tcPr>
            <w:tcW w:w="4135" w:type="dxa"/>
            <w:vAlign w:val="center"/>
          </w:tcPr>
          <w:p w:rsidR="004C3B2F" w:rsidRPr="00EC1F9B" w:rsidRDefault="00BA7D60" w:rsidP="00BA7D60">
            <w:pPr>
              <w:rPr>
                <w:rFonts w:ascii="Arial" w:hAnsi="Arial"/>
                <w:sz w:val="20"/>
                <w:szCs w:val="20"/>
              </w:rPr>
            </w:pPr>
            <w:r>
              <w:rPr>
                <w:rFonts w:ascii="Arial" w:hAnsi="Arial"/>
                <w:sz w:val="20"/>
                <w:szCs w:val="20"/>
              </w:rPr>
              <w:t>Deane F. and</w:t>
            </w:r>
            <w:r w:rsidR="00642344" w:rsidRPr="00EC1F9B">
              <w:rPr>
                <w:rFonts w:ascii="Arial" w:hAnsi="Arial"/>
                <w:sz w:val="20"/>
                <w:szCs w:val="20"/>
              </w:rPr>
              <w:t xml:space="preserve"> Kate Edelman Johnson Professor of Law</w:t>
            </w:r>
          </w:p>
        </w:tc>
        <w:tc>
          <w:tcPr>
            <w:tcW w:w="3870" w:type="dxa"/>
            <w:vAlign w:val="center"/>
          </w:tcPr>
          <w:p w:rsidR="004C3B2F" w:rsidRPr="00EC1F9B" w:rsidRDefault="00642344" w:rsidP="00642344">
            <w:pPr>
              <w:rPr>
                <w:rFonts w:ascii="Arial" w:hAnsi="Arial"/>
                <w:sz w:val="20"/>
                <w:szCs w:val="20"/>
              </w:rPr>
            </w:pPr>
            <w:r w:rsidRPr="00EC1F9B">
              <w:rPr>
                <w:rFonts w:ascii="Arial" w:hAnsi="Arial"/>
                <w:sz w:val="20"/>
                <w:szCs w:val="20"/>
              </w:rPr>
              <w:t>Stanford University</w:t>
            </w:r>
          </w:p>
        </w:tc>
      </w:tr>
      <w:tr w:rsidR="004C3B2F" w:rsidTr="00BA7D60">
        <w:trPr>
          <w:trHeight w:val="90"/>
          <w:jc w:val="center"/>
        </w:trPr>
        <w:tc>
          <w:tcPr>
            <w:tcW w:w="2245" w:type="dxa"/>
            <w:vAlign w:val="center"/>
          </w:tcPr>
          <w:p w:rsidR="004C3B2F" w:rsidRPr="00EC1F9B" w:rsidRDefault="004C3B2F" w:rsidP="00642344">
            <w:pPr>
              <w:spacing w:before="120" w:after="120"/>
              <w:rPr>
                <w:rFonts w:ascii="Arial" w:hAnsi="Arial"/>
                <w:sz w:val="20"/>
                <w:szCs w:val="20"/>
              </w:rPr>
            </w:pPr>
            <w:r w:rsidRPr="00EC1F9B">
              <w:rPr>
                <w:rFonts w:ascii="Arial" w:hAnsi="Arial"/>
                <w:sz w:val="20"/>
                <w:szCs w:val="20"/>
              </w:rPr>
              <w:t>Marc Hurlbert, Ph.D.</w:t>
            </w:r>
          </w:p>
        </w:tc>
        <w:tc>
          <w:tcPr>
            <w:tcW w:w="4135" w:type="dxa"/>
            <w:vAlign w:val="center"/>
          </w:tcPr>
          <w:p w:rsidR="004C3B2F" w:rsidRPr="00EC1F9B" w:rsidRDefault="00642344" w:rsidP="00BA7D60">
            <w:pPr>
              <w:rPr>
                <w:rFonts w:ascii="Arial" w:hAnsi="Arial"/>
                <w:sz w:val="20"/>
                <w:szCs w:val="20"/>
              </w:rPr>
            </w:pPr>
            <w:r w:rsidRPr="00EC1F9B">
              <w:rPr>
                <w:rFonts w:ascii="Arial" w:hAnsi="Arial"/>
                <w:sz w:val="20"/>
                <w:szCs w:val="20"/>
              </w:rPr>
              <w:t>Chief Mission Officer</w:t>
            </w:r>
          </w:p>
        </w:tc>
        <w:tc>
          <w:tcPr>
            <w:tcW w:w="3870" w:type="dxa"/>
            <w:vAlign w:val="center"/>
          </w:tcPr>
          <w:p w:rsidR="004C3B2F" w:rsidRPr="00EC1F9B" w:rsidRDefault="00642344" w:rsidP="0079006A">
            <w:pPr>
              <w:rPr>
                <w:rFonts w:ascii="Arial" w:hAnsi="Arial"/>
                <w:sz w:val="20"/>
                <w:szCs w:val="20"/>
              </w:rPr>
            </w:pPr>
            <w:r w:rsidRPr="00EC1F9B">
              <w:rPr>
                <w:rFonts w:ascii="Arial" w:hAnsi="Arial"/>
                <w:sz w:val="20"/>
                <w:szCs w:val="20"/>
              </w:rPr>
              <w:t>Breast Cancer Research Foundation</w:t>
            </w:r>
          </w:p>
        </w:tc>
      </w:tr>
      <w:tr w:rsidR="004C3B2F" w:rsidTr="00BA7D60">
        <w:trPr>
          <w:trHeight w:val="181"/>
          <w:jc w:val="center"/>
        </w:trPr>
        <w:tc>
          <w:tcPr>
            <w:tcW w:w="2245" w:type="dxa"/>
            <w:vAlign w:val="center"/>
          </w:tcPr>
          <w:p w:rsidR="004C3B2F" w:rsidRPr="00EC1F9B" w:rsidRDefault="00642344" w:rsidP="00642344">
            <w:pPr>
              <w:spacing w:before="120" w:after="120"/>
              <w:rPr>
                <w:rFonts w:ascii="Arial" w:hAnsi="Arial"/>
                <w:sz w:val="20"/>
                <w:szCs w:val="20"/>
              </w:rPr>
            </w:pPr>
            <w:r>
              <w:rPr>
                <w:rFonts w:ascii="Arial" w:hAnsi="Arial"/>
                <w:sz w:val="20"/>
                <w:szCs w:val="20"/>
              </w:rPr>
              <w:t>Eric T. Juengst, Ph.D.</w:t>
            </w:r>
          </w:p>
        </w:tc>
        <w:tc>
          <w:tcPr>
            <w:tcW w:w="4135" w:type="dxa"/>
            <w:vAlign w:val="center"/>
          </w:tcPr>
          <w:p w:rsidR="004C3B2F" w:rsidRPr="00EC1F9B" w:rsidRDefault="00642344" w:rsidP="00BA7D60">
            <w:pPr>
              <w:rPr>
                <w:rFonts w:ascii="Arial" w:hAnsi="Arial"/>
                <w:sz w:val="20"/>
                <w:szCs w:val="20"/>
              </w:rPr>
            </w:pPr>
            <w:r w:rsidRPr="00EC1F9B">
              <w:rPr>
                <w:rFonts w:ascii="Arial" w:hAnsi="Arial"/>
                <w:sz w:val="20"/>
                <w:szCs w:val="20"/>
              </w:rPr>
              <w:t>Professor of Social Medicine and Genetics</w:t>
            </w:r>
          </w:p>
        </w:tc>
        <w:tc>
          <w:tcPr>
            <w:tcW w:w="3870" w:type="dxa"/>
            <w:vAlign w:val="center"/>
          </w:tcPr>
          <w:p w:rsidR="004C3B2F" w:rsidRPr="00EC1F9B" w:rsidRDefault="00642344" w:rsidP="0079006A">
            <w:pPr>
              <w:rPr>
                <w:rFonts w:ascii="Arial" w:hAnsi="Arial"/>
                <w:sz w:val="20"/>
                <w:szCs w:val="20"/>
              </w:rPr>
            </w:pPr>
            <w:r w:rsidRPr="00EC1F9B">
              <w:rPr>
                <w:rFonts w:ascii="Arial" w:hAnsi="Arial"/>
                <w:sz w:val="20"/>
                <w:szCs w:val="20"/>
              </w:rPr>
              <w:t>U. of North Carolina Center for Bioethics</w:t>
            </w:r>
          </w:p>
        </w:tc>
      </w:tr>
      <w:tr w:rsidR="004C3B2F" w:rsidTr="00BA7D60">
        <w:trPr>
          <w:trHeight w:val="539"/>
          <w:jc w:val="center"/>
        </w:trPr>
        <w:tc>
          <w:tcPr>
            <w:tcW w:w="2245" w:type="dxa"/>
            <w:vAlign w:val="center"/>
          </w:tcPr>
          <w:p w:rsidR="004C3B2F" w:rsidRPr="00EC1F9B" w:rsidRDefault="004C3B2F" w:rsidP="00EC1F9B">
            <w:pPr>
              <w:rPr>
                <w:rFonts w:ascii="Arial" w:hAnsi="Arial"/>
                <w:sz w:val="20"/>
                <w:szCs w:val="20"/>
              </w:rPr>
            </w:pPr>
            <w:r w:rsidRPr="00EC1F9B">
              <w:rPr>
                <w:rFonts w:ascii="Arial" w:hAnsi="Arial"/>
                <w:sz w:val="20"/>
                <w:szCs w:val="20"/>
              </w:rPr>
              <w:t>Gary E. Marchant, J.D., Ph.D., M.P.P.</w:t>
            </w:r>
          </w:p>
        </w:tc>
        <w:tc>
          <w:tcPr>
            <w:tcW w:w="4135" w:type="dxa"/>
            <w:vAlign w:val="center"/>
          </w:tcPr>
          <w:p w:rsidR="004C3B2F" w:rsidRPr="00EC1F9B" w:rsidRDefault="00642344" w:rsidP="00BA7D60">
            <w:pPr>
              <w:rPr>
                <w:rFonts w:ascii="Arial" w:hAnsi="Arial"/>
                <w:sz w:val="20"/>
                <w:szCs w:val="20"/>
              </w:rPr>
            </w:pPr>
            <w:r w:rsidRPr="00EC1F9B">
              <w:rPr>
                <w:rFonts w:ascii="Arial" w:hAnsi="Arial"/>
                <w:sz w:val="20"/>
                <w:szCs w:val="20"/>
              </w:rPr>
              <w:t>Regents' Professor &amp; Lincoln Professor of Emerging Technologies, Law &amp; Ethics</w:t>
            </w:r>
          </w:p>
        </w:tc>
        <w:tc>
          <w:tcPr>
            <w:tcW w:w="3870" w:type="dxa"/>
            <w:vAlign w:val="center"/>
          </w:tcPr>
          <w:p w:rsidR="004C3B2F" w:rsidRPr="00EC1F9B" w:rsidRDefault="00642344" w:rsidP="00642344">
            <w:pPr>
              <w:rPr>
                <w:rFonts w:ascii="Arial" w:hAnsi="Arial"/>
                <w:sz w:val="20"/>
                <w:szCs w:val="20"/>
              </w:rPr>
            </w:pPr>
            <w:r w:rsidRPr="00EC1F9B">
              <w:rPr>
                <w:rFonts w:ascii="Arial" w:hAnsi="Arial"/>
                <w:sz w:val="20"/>
                <w:szCs w:val="20"/>
              </w:rPr>
              <w:t>Arizona State University</w:t>
            </w:r>
          </w:p>
        </w:tc>
      </w:tr>
      <w:tr w:rsidR="004C3B2F" w:rsidTr="00BA7D60">
        <w:trPr>
          <w:trHeight w:val="96"/>
          <w:jc w:val="center"/>
        </w:trPr>
        <w:tc>
          <w:tcPr>
            <w:tcW w:w="2245" w:type="dxa"/>
            <w:vAlign w:val="center"/>
          </w:tcPr>
          <w:p w:rsidR="004C3B2F" w:rsidRPr="00EC1F9B" w:rsidRDefault="004C3B2F" w:rsidP="00642344">
            <w:pPr>
              <w:spacing w:before="120" w:after="120"/>
              <w:rPr>
                <w:rFonts w:ascii="Arial" w:hAnsi="Arial"/>
                <w:sz w:val="20"/>
                <w:szCs w:val="20"/>
              </w:rPr>
            </w:pPr>
            <w:r w:rsidRPr="00EC1F9B">
              <w:rPr>
                <w:rFonts w:ascii="Arial" w:hAnsi="Arial"/>
                <w:sz w:val="20"/>
                <w:szCs w:val="20"/>
              </w:rPr>
              <w:t>Patricia A. Spears</w:t>
            </w:r>
          </w:p>
        </w:tc>
        <w:tc>
          <w:tcPr>
            <w:tcW w:w="4135" w:type="dxa"/>
            <w:vAlign w:val="center"/>
          </w:tcPr>
          <w:p w:rsidR="004C3B2F" w:rsidRPr="00EC1F9B" w:rsidRDefault="00642344" w:rsidP="00BA7D60">
            <w:pPr>
              <w:rPr>
                <w:rFonts w:ascii="Arial" w:hAnsi="Arial"/>
                <w:sz w:val="20"/>
                <w:szCs w:val="20"/>
              </w:rPr>
            </w:pPr>
            <w:r>
              <w:rPr>
                <w:rFonts w:ascii="Arial" w:hAnsi="Arial"/>
                <w:sz w:val="20"/>
                <w:szCs w:val="20"/>
              </w:rPr>
              <w:t>Co-Vice Chair, Patient Advocate Committee</w:t>
            </w:r>
          </w:p>
        </w:tc>
        <w:tc>
          <w:tcPr>
            <w:tcW w:w="3870" w:type="dxa"/>
            <w:vAlign w:val="center"/>
          </w:tcPr>
          <w:p w:rsidR="004C3B2F" w:rsidRPr="00EC1F9B" w:rsidRDefault="00642344" w:rsidP="0079006A">
            <w:pPr>
              <w:rPr>
                <w:rFonts w:ascii="Arial" w:hAnsi="Arial"/>
                <w:sz w:val="20"/>
                <w:szCs w:val="20"/>
              </w:rPr>
            </w:pPr>
            <w:r>
              <w:rPr>
                <w:rFonts w:ascii="Arial" w:hAnsi="Arial"/>
                <w:sz w:val="20"/>
                <w:szCs w:val="20"/>
              </w:rPr>
              <w:t>Alliance for Clinical Trials in Oncology</w:t>
            </w:r>
          </w:p>
        </w:tc>
      </w:tr>
    </w:tbl>
    <w:p w:rsidR="00EC1F9B" w:rsidRDefault="007C6605" w:rsidP="00642344">
      <w:pPr>
        <w:spacing w:before="120" w:after="120" w:line="240" w:lineRule="exact"/>
        <w:jc w:val="both"/>
        <w:rPr>
          <w:rFonts w:ascii="Arial" w:hAnsi="Arial"/>
          <w:sz w:val="22"/>
        </w:rPr>
      </w:pPr>
      <w:r>
        <w:rPr>
          <w:rFonts w:ascii="Arial" w:hAnsi="Arial"/>
          <w:b/>
          <w:sz w:val="22"/>
        </w:rPr>
        <w:t xml:space="preserve">Stage 1: The Landscape. </w:t>
      </w:r>
      <w:r w:rsidR="00941C9D">
        <w:rPr>
          <w:rFonts w:ascii="Arial" w:hAnsi="Arial"/>
          <w:sz w:val="22"/>
        </w:rPr>
        <w:t>Working Group M</w:t>
      </w:r>
      <w:r>
        <w:rPr>
          <w:rFonts w:ascii="Arial" w:hAnsi="Arial"/>
          <w:sz w:val="22"/>
        </w:rPr>
        <w:t>eeting #1</w:t>
      </w:r>
      <w:r w:rsidR="00A352CE">
        <w:rPr>
          <w:rFonts w:ascii="Arial" w:hAnsi="Arial"/>
          <w:sz w:val="22"/>
        </w:rPr>
        <w:t>, lasting</w:t>
      </w:r>
      <w:r w:rsidR="00C1430E">
        <w:rPr>
          <w:rFonts w:ascii="Arial" w:hAnsi="Arial"/>
          <w:sz w:val="22"/>
        </w:rPr>
        <w:t xml:space="preserve"> 1.5 days</w:t>
      </w:r>
      <w:r w:rsidR="00A352CE">
        <w:rPr>
          <w:rFonts w:ascii="Arial" w:hAnsi="Arial"/>
          <w:sz w:val="22"/>
        </w:rPr>
        <w:t>, will</w:t>
      </w:r>
      <w:r w:rsidR="00C1430E">
        <w:rPr>
          <w:rFonts w:ascii="Arial" w:hAnsi="Arial"/>
          <w:sz w:val="22"/>
        </w:rPr>
        <w:t xml:space="preserve"> </w:t>
      </w:r>
      <w:r>
        <w:rPr>
          <w:rFonts w:ascii="Arial" w:hAnsi="Arial"/>
          <w:sz w:val="22"/>
        </w:rPr>
        <w:t xml:space="preserve">focus on establishing a knowledge base </w:t>
      </w:r>
      <w:r w:rsidR="00D97065">
        <w:rPr>
          <w:rFonts w:ascii="Arial" w:hAnsi="Arial"/>
          <w:sz w:val="22"/>
        </w:rPr>
        <w:t>about</w:t>
      </w:r>
      <w:r w:rsidR="00A352CE">
        <w:rPr>
          <w:rFonts w:ascii="Arial" w:hAnsi="Arial"/>
          <w:sz w:val="22"/>
        </w:rPr>
        <w:t xml:space="preserve"> </w:t>
      </w:r>
      <w:r>
        <w:rPr>
          <w:rFonts w:ascii="Arial" w:hAnsi="Arial"/>
          <w:sz w:val="22"/>
        </w:rPr>
        <w:t xml:space="preserve">unregulated </w:t>
      </w:r>
      <w:r w:rsidR="000F602B">
        <w:rPr>
          <w:rFonts w:ascii="Arial" w:hAnsi="Arial"/>
          <w:sz w:val="22"/>
        </w:rPr>
        <w:t>mH</w:t>
      </w:r>
      <w:r>
        <w:rPr>
          <w:rFonts w:ascii="Arial" w:hAnsi="Arial"/>
          <w:sz w:val="22"/>
        </w:rPr>
        <w:t>ealth research</w:t>
      </w:r>
      <w:r w:rsidR="00A352CE">
        <w:rPr>
          <w:rFonts w:ascii="Arial" w:hAnsi="Arial"/>
          <w:sz w:val="22"/>
        </w:rPr>
        <w:t>.</w:t>
      </w:r>
      <w:r w:rsidR="00C1430E">
        <w:rPr>
          <w:rFonts w:ascii="Arial" w:hAnsi="Arial"/>
          <w:sz w:val="22"/>
        </w:rPr>
        <w:t xml:space="preserve"> </w:t>
      </w:r>
      <w:r w:rsidR="00AF127F">
        <w:rPr>
          <w:rFonts w:ascii="Arial" w:hAnsi="Arial"/>
          <w:sz w:val="22"/>
        </w:rPr>
        <w:t>The purposes of this</w:t>
      </w:r>
      <w:r w:rsidR="000E70C1">
        <w:rPr>
          <w:rFonts w:ascii="Arial" w:hAnsi="Arial"/>
          <w:sz w:val="22"/>
        </w:rPr>
        <w:t xml:space="preserve"> meeting are: (1) to bring all Working G</w:t>
      </w:r>
      <w:r w:rsidR="00AF127F">
        <w:rPr>
          <w:rFonts w:ascii="Arial" w:hAnsi="Arial"/>
          <w:sz w:val="22"/>
        </w:rPr>
        <w:t>roup members up to speed on the technical aspects of m</w:t>
      </w:r>
      <w:r w:rsidR="00755A5B">
        <w:rPr>
          <w:rFonts w:ascii="Arial" w:hAnsi="Arial"/>
          <w:sz w:val="22"/>
        </w:rPr>
        <w:t>Health</w:t>
      </w:r>
      <w:r w:rsidR="00AF127F">
        <w:rPr>
          <w:rFonts w:ascii="Arial" w:hAnsi="Arial"/>
          <w:sz w:val="22"/>
        </w:rPr>
        <w:t xml:space="preserve"> devices; (2) to explain the software used to link a research app to one</w:t>
      </w:r>
      <w:r w:rsidR="000E70C1">
        <w:rPr>
          <w:rFonts w:ascii="Arial" w:hAnsi="Arial"/>
          <w:sz w:val="22"/>
        </w:rPr>
        <w:t xml:space="preserve"> of</w:t>
      </w:r>
      <w:r w:rsidR="00AF127F">
        <w:rPr>
          <w:rFonts w:ascii="Arial" w:hAnsi="Arial"/>
          <w:sz w:val="22"/>
        </w:rPr>
        <w:t xml:space="preserve"> the two main research platforms (ResearchKit and Res</w:t>
      </w:r>
      <w:r w:rsidR="00A352CE">
        <w:rPr>
          <w:rFonts w:ascii="Arial" w:hAnsi="Arial"/>
          <w:sz w:val="22"/>
        </w:rPr>
        <w:t xml:space="preserve">earchStack); (3) to explore </w:t>
      </w:r>
      <w:r w:rsidR="00AF127F">
        <w:rPr>
          <w:rFonts w:ascii="Arial" w:hAnsi="Arial"/>
          <w:sz w:val="22"/>
        </w:rPr>
        <w:t xml:space="preserve">different forms of unregulated </w:t>
      </w:r>
      <w:r w:rsidR="006F5C14">
        <w:rPr>
          <w:rFonts w:ascii="Arial" w:hAnsi="Arial"/>
          <w:sz w:val="22"/>
        </w:rPr>
        <w:t xml:space="preserve">health </w:t>
      </w:r>
      <w:r w:rsidR="00A352CE">
        <w:rPr>
          <w:rFonts w:ascii="Arial" w:hAnsi="Arial"/>
          <w:sz w:val="22"/>
        </w:rPr>
        <w:t>research, including</w:t>
      </w:r>
      <w:r w:rsidR="00AF127F">
        <w:rPr>
          <w:rFonts w:ascii="Arial" w:hAnsi="Arial"/>
          <w:sz w:val="22"/>
        </w:rPr>
        <w:t xml:space="preserve"> independent research, patient-directed research, citizen science, and research uses of data obtained for another purpose; and (4) to help shape the direction of the </w:t>
      </w:r>
      <w:r w:rsidR="00076DE6">
        <w:rPr>
          <w:rFonts w:ascii="Arial" w:hAnsi="Arial"/>
          <w:sz w:val="22"/>
        </w:rPr>
        <w:t xml:space="preserve">Aim 1 </w:t>
      </w:r>
      <w:r w:rsidR="00AF127F">
        <w:rPr>
          <w:rFonts w:ascii="Arial" w:hAnsi="Arial"/>
          <w:sz w:val="22"/>
        </w:rPr>
        <w:t>thought leader interviews</w:t>
      </w:r>
      <w:r w:rsidR="00076DE6">
        <w:rPr>
          <w:rFonts w:ascii="Arial" w:hAnsi="Arial"/>
          <w:sz w:val="22"/>
        </w:rPr>
        <w:t xml:space="preserve"> by providing input on the interview guide and helping identify prospective interviewees. </w:t>
      </w:r>
      <w:r w:rsidR="00AF127F">
        <w:rPr>
          <w:rFonts w:ascii="Arial" w:hAnsi="Arial"/>
          <w:sz w:val="22"/>
        </w:rPr>
        <w:t>A summary of the topics and speakers follows</w:t>
      </w:r>
      <w:r w:rsidR="00076DE6">
        <w:rPr>
          <w:rFonts w:ascii="Arial" w:hAnsi="Arial"/>
          <w:sz w:val="22"/>
        </w:rPr>
        <w:t xml:space="preserve"> (see the Appendix for a detailed schedule)</w:t>
      </w:r>
      <w:r w:rsidR="00AF127F">
        <w:rPr>
          <w:rFonts w:ascii="Arial" w:hAnsi="Arial"/>
          <w:sz w:val="22"/>
        </w:rPr>
        <w:t>.</w:t>
      </w:r>
    </w:p>
    <w:tbl>
      <w:tblPr>
        <w:tblStyle w:val="TableGrid"/>
        <w:tblW w:w="9628"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80"/>
        <w:gridCol w:w="2312"/>
        <w:gridCol w:w="2468"/>
        <w:gridCol w:w="2968"/>
      </w:tblGrid>
      <w:tr w:rsidR="000B1891" w:rsidRPr="00636F31" w:rsidTr="00EC1080">
        <w:trPr>
          <w:cantSplit/>
          <w:trHeight w:val="111"/>
          <w:jc w:val="center"/>
        </w:trPr>
        <w:tc>
          <w:tcPr>
            <w:tcW w:w="9627" w:type="dxa"/>
            <w:gridSpan w:val="4"/>
            <w:vAlign w:val="center"/>
          </w:tcPr>
          <w:p w:rsidR="000B1891" w:rsidRPr="00636F31" w:rsidRDefault="000B1891" w:rsidP="0012222B">
            <w:pPr>
              <w:spacing w:before="20" w:after="20"/>
              <w:jc w:val="center"/>
              <w:rPr>
                <w:rFonts w:ascii="Arial" w:hAnsi="Arial" w:cs="Arial"/>
                <w:sz w:val="20"/>
                <w:szCs w:val="20"/>
              </w:rPr>
            </w:pPr>
            <w:r w:rsidRPr="00636F31">
              <w:rPr>
                <w:rFonts w:ascii="Arial" w:hAnsi="Arial" w:cs="Arial"/>
                <w:b/>
                <w:sz w:val="20"/>
                <w:szCs w:val="20"/>
              </w:rPr>
              <w:lastRenderedPageBreak/>
              <w:t>Working Group Meeting #1 -- The Landscape</w:t>
            </w:r>
          </w:p>
          <w:p w:rsidR="000B1891" w:rsidRPr="00636F31" w:rsidRDefault="000B1891" w:rsidP="0012222B">
            <w:pPr>
              <w:spacing w:before="20" w:after="20"/>
              <w:jc w:val="center"/>
              <w:rPr>
                <w:rFonts w:ascii="Arial" w:hAnsi="Arial" w:cs="Arial"/>
                <w:sz w:val="20"/>
                <w:szCs w:val="20"/>
              </w:rPr>
            </w:pPr>
            <w:r w:rsidRPr="00636F31">
              <w:rPr>
                <w:rFonts w:ascii="Arial" w:hAnsi="Arial" w:cs="Arial"/>
                <w:sz w:val="20"/>
                <w:szCs w:val="20"/>
              </w:rPr>
              <w:t>San Diego: October 2017</w:t>
            </w:r>
          </w:p>
        </w:tc>
      </w:tr>
      <w:tr w:rsidR="00683035" w:rsidRPr="00636F31" w:rsidTr="00EC1080">
        <w:trPr>
          <w:cantSplit/>
          <w:trHeight w:val="163"/>
          <w:jc w:val="center"/>
        </w:trPr>
        <w:tc>
          <w:tcPr>
            <w:tcW w:w="1880" w:type="dxa"/>
            <w:vAlign w:val="center"/>
          </w:tcPr>
          <w:p w:rsidR="000B1891" w:rsidRPr="00636F31" w:rsidRDefault="000B1891" w:rsidP="0012222B">
            <w:pPr>
              <w:spacing w:before="20" w:after="20"/>
              <w:rPr>
                <w:rFonts w:ascii="Arial" w:hAnsi="Arial" w:cs="Arial"/>
                <w:b/>
                <w:sz w:val="20"/>
                <w:szCs w:val="20"/>
              </w:rPr>
            </w:pPr>
            <w:r w:rsidRPr="00636F31">
              <w:rPr>
                <w:rFonts w:ascii="Arial" w:hAnsi="Arial" w:cs="Arial"/>
                <w:b/>
                <w:sz w:val="20"/>
                <w:szCs w:val="20"/>
              </w:rPr>
              <w:t>Topic</w:t>
            </w:r>
          </w:p>
        </w:tc>
        <w:tc>
          <w:tcPr>
            <w:tcW w:w="2312" w:type="dxa"/>
            <w:vAlign w:val="center"/>
          </w:tcPr>
          <w:p w:rsidR="000B1891" w:rsidRPr="00636F31" w:rsidRDefault="000B1891" w:rsidP="0012222B">
            <w:pPr>
              <w:spacing w:before="20" w:after="20"/>
              <w:rPr>
                <w:rFonts w:ascii="Arial" w:hAnsi="Arial" w:cs="Arial"/>
                <w:b/>
                <w:sz w:val="20"/>
                <w:szCs w:val="20"/>
              </w:rPr>
            </w:pPr>
            <w:r w:rsidRPr="00636F31">
              <w:rPr>
                <w:rFonts w:ascii="Arial" w:hAnsi="Arial" w:cs="Arial"/>
                <w:b/>
                <w:sz w:val="20"/>
                <w:szCs w:val="20"/>
              </w:rPr>
              <w:t>Speaker</w:t>
            </w:r>
          </w:p>
        </w:tc>
        <w:tc>
          <w:tcPr>
            <w:tcW w:w="2468" w:type="dxa"/>
            <w:vAlign w:val="center"/>
          </w:tcPr>
          <w:p w:rsidR="000B1891" w:rsidRPr="00636F31" w:rsidRDefault="000B1891" w:rsidP="0012222B">
            <w:pPr>
              <w:spacing w:before="20" w:after="20"/>
              <w:rPr>
                <w:rFonts w:ascii="Arial" w:hAnsi="Arial" w:cs="Arial"/>
                <w:b/>
                <w:sz w:val="20"/>
                <w:szCs w:val="20"/>
              </w:rPr>
            </w:pPr>
            <w:r w:rsidRPr="00636F31">
              <w:rPr>
                <w:rFonts w:ascii="Arial" w:hAnsi="Arial" w:cs="Arial"/>
                <w:b/>
                <w:sz w:val="20"/>
                <w:szCs w:val="20"/>
              </w:rPr>
              <w:t>Project Role</w:t>
            </w:r>
          </w:p>
        </w:tc>
        <w:tc>
          <w:tcPr>
            <w:tcW w:w="2968" w:type="dxa"/>
            <w:vAlign w:val="center"/>
          </w:tcPr>
          <w:p w:rsidR="000B1891" w:rsidRPr="00636F31" w:rsidRDefault="000B1891" w:rsidP="0012222B">
            <w:pPr>
              <w:spacing w:before="20" w:after="20"/>
              <w:rPr>
                <w:rFonts w:ascii="Arial" w:hAnsi="Arial" w:cs="Arial"/>
                <w:b/>
                <w:sz w:val="20"/>
                <w:szCs w:val="20"/>
              </w:rPr>
            </w:pPr>
            <w:r w:rsidRPr="00636F31">
              <w:rPr>
                <w:rFonts w:ascii="Arial" w:hAnsi="Arial" w:cs="Arial"/>
                <w:b/>
                <w:sz w:val="20"/>
                <w:szCs w:val="20"/>
              </w:rPr>
              <w:t>Affiliation</w:t>
            </w:r>
          </w:p>
        </w:tc>
      </w:tr>
      <w:tr w:rsidR="00BB7D74" w:rsidRPr="00636F31" w:rsidTr="00F91F79">
        <w:trPr>
          <w:cantSplit/>
          <w:trHeight w:val="201"/>
          <w:jc w:val="center"/>
        </w:trPr>
        <w:tc>
          <w:tcPr>
            <w:tcW w:w="1880" w:type="dxa"/>
            <w:vAlign w:val="center"/>
          </w:tcPr>
          <w:p w:rsidR="00BB7D74" w:rsidRPr="00636F31" w:rsidRDefault="002B4166" w:rsidP="0012222B">
            <w:pPr>
              <w:spacing w:before="20" w:after="20"/>
              <w:rPr>
                <w:rFonts w:ascii="Arial" w:hAnsi="Arial" w:cs="Arial"/>
                <w:sz w:val="20"/>
                <w:szCs w:val="20"/>
              </w:rPr>
            </w:pPr>
            <w:r>
              <w:rPr>
                <w:rFonts w:ascii="Arial" w:hAnsi="Arial" w:cs="Arial"/>
                <w:sz w:val="20"/>
                <w:szCs w:val="20"/>
              </w:rPr>
              <w:t>m</w:t>
            </w:r>
            <w:r w:rsidR="00BB7D74">
              <w:rPr>
                <w:rFonts w:ascii="Arial" w:hAnsi="Arial" w:cs="Arial"/>
                <w:sz w:val="20"/>
                <w:szCs w:val="20"/>
              </w:rPr>
              <w:t xml:space="preserve">Health </w:t>
            </w:r>
            <w:r w:rsidR="00BA7D60">
              <w:rPr>
                <w:rFonts w:ascii="Arial" w:hAnsi="Arial" w:cs="Arial"/>
                <w:sz w:val="20"/>
                <w:szCs w:val="20"/>
              </w:rPr>
              <w:t>d</w:t>
            </w:r>
            <w:r w:rsidR="00BB7D74">
              <w:rPr>
                <w:rFonts w:ascii="Arial" w:hAnsi="Arial" w:cs="Arial"/>
                <w:sz w:val="20"/>
                <w:szCs w:val="20"/>
              </w:rPr>
              <w:t>evices</w:t>
            </w:r>
          </w:p>
        </w:tc>
        <w:tc>
          <w:tcPr>
            <w:tcW w:w="2312" w:type="dxa"/>
            <w:tcBorders>
              <w:bottom w:val="nil"/>
            </w:tcBorders>
            <w:vAlign w:val="center"/>
          </w:tcPr>
          <w:p w:rsidR="00BB7D74" w:rsidRDefault="00BB7D74" w:rsidP="002B4166">
            <w:pPr>
              <w:spacing w:before="20" w:after="20"/>
              <w:rPr>
                <w:rFonts w:ascii="Arial" w:hAnsi="Arial" w:cs="Arial"/>
                <w:sz w:val="20"/>
                <w:szCs w:val="20"/>
              </w:rPr>
            </w:pPr>
            <w:r>
              <w:rPr>
                <w:rFonts w:ascii="Arial" w:hAnsi="Arial" w:cs="Arial"/>
                <w:sz w:val="20"/>
                <w:szCs w:val="20"/>
              </w:rPr>
              <w:t>Eric J. Top</w:t>
            </w:r>
            <w:r w:rsidR="002B4166">
              <w:rPr>
                <w:rFonts w:ascii="Arial" w:hAnsi="Arial" w:cs="Arial"/>
                <w:sz w:val="20"/>
                <w:szCs w:val="20"/>
              </w:rPr>
              <w:t>o</w:t>
            </w:r>
            <w:r>
              <w:rPr>
                <w:rFonts w:ascii="Arial" w:hAnsi="Arial" w:cs="Arial"/>
                <w:sz w:val="20"/>
                <w:szCs w:val="20"/>
              </w:rPr>
              <w:t>l</w:t>
            </w:r>
          </w:p>
        </w:tc>
        <w:tc>
          <w:tcPr>
            <w:tcW w:w="2468" w:type="dxa"/>
            <w:tcBorders>
              <w:bottom w:val="single" w:sz="4" w:space="0" w:color="auto"/>
            </w:tcBorders>
            <w:vAlign w:val="center"/>
          </w:tcPr>
          <w:p w:rsidR="00BB7D74" w:rsidRPr="00636F31" w:rsidRDefault="00BB7D74" w:rsidP="00F91F79">
            <w:pPr>
              <w:spacing w:before="20" w:after="20"/>
              <w:rPr>
                <w:rFonts w:ascii="Arial" w:hAnsi="Arial" w:cs="Arial"/>
                <w:sz w:val="20"/>
                <w:szCs w:val="20"/>
              </w:rPr>
            </w:pPr>
            <w:r>
              <w:rPr>
                <w:rFonts w:ascii="Arial" w:hAnsi="Arial" w:cs="Arial"/>
                <w:sz w:val="20"/>
                <w:szCs w:val="20"/>
              </w:rPr>
              <w:t>Guest Speaker</w:t>
            </w:r>
          </w:p>
        </w:tc>
        <w:tc>
          <w:tcPr>
            <w:tcW w:w="2968" w:type="dxa"/>
            <w:tcBorders>
              <w:bottom w:val="nil"/>
            </w:tcBorders>
            <w:vAlign w:val="center"/>
          </w:tcPr>
          <w:p w:rsidR="00BB7D74" w:rsidRPr="00636F31" w:rsidRDefault="00BB7D74" w:rsidP="002B4166">
            <w:pPr>
              <w:spacing w:before="20" w:after="20"/>
              <w:rPr>
                <w:rFonts w:ascii="Arial" w:hAnsi="Arial" w:cs="Arial"/>
                <w:sz w:val="20"/>
                <w:szCs w:val="20"/>
              </w:rPr>
            </w:pPr>
            <w:r>
              <w:rPr>
                <w:rFonts w:ascii="Arial" w:hAnsi="Arial" w:cs="Arial"/>
                <w:sz w:val="20"/>
                <w:szCs w:val="20"/>
              </w:rPr>
              <w:t>Scripps Research Inst</w:t>
            </w:r>
            <w:r w:rsidR="002B4166">
              <w:rPr>
                <w:rFonts w:ascii="Arial" w:hAnsi="Arial" w:cs="Arial"/>
                <w:sz w:val="20"/>
                <w:szCs w:val="20"/>
              </w:rPr>
              <w:t>itute</w:t>
            </w:r>
          </w:p>
        </w:tc>
      </w:tr>
      <w:tr w:rsidR="00685E47" w:rsidRPr="00636F31" w:rsidTr="00F91F79">
        <w:trPr>
          <w:cantSplit/>
          <w:trHeight w:val="201"/>
          <w:jc w:val="center"/>
        </w:trPr>
        <w:tc>
          <w:tcPr>
            <w:tcW w:w="1880" w:type="dxa"/>
            <w:vAlign w:val="center"/>
          </w:tcPr>
          <w:p w:rsidR="000B1891" w:rsidRPr="00636F31" w:rsidRDefault="000B1891" w:rsidP="0012222B">
            <w:pPr>
              <w:spacing w:before="20" w:after="20"/>
              <w:rPr>
                <w:rFonts w:ascii="Arial" w:hAnsi="Arial" w:cs="Arial"/>
                <w:sz w:val="20"/>
                <w:szCs w:val="20"/>
              </w:rPr>
            </w:pPr>
            <w:r w:rsidRPr="00636F31">
              <w:rPr>
                <w:rFonts w:ascii="Arial" w:hAnsi="Arial" w:cs="Arial"/>
                <w:sz w:val="20"/>
                <w:szCs w:val="20"/>
              </w:rPr>
              <w:t>Mobile health research platforms</w:t>
            </w:r>
          </w:p>
        </w:tc>
        <w:tc>
          <w:tcPr>
            <w:tcW w:w="2312" w:type="dxa"/>
            <w:tcBorders>
              <w:bottom w:val="nil"/>
            </w:tcBorders>
            <w:vAlign w:val="center"/>
          </w:tcPr>
          <w:p w:rsidR="000B1891" w:rsidRPr="00636F31" w:rsidRDefault="00685E47" w:rsidP="00683035">
            <w:pPr>
              <w:spacing w:before="20" w:after="20"/>
              <w:rPr>
                <w:rFonts w:ascii="Arial" w:hAnsi="Arial" w:cs="Arial"/>
                <w:sz w:val="20"/>
                <w:szCs w:val="20"/>
              </w:rPr>
            </w:pPr>
            <w:r>
              <w:rPr>
                <w:rFonts w:ascii="Arial" w:hAnsi="Arial" w:cs="Arial"/>
                <w:sz w:val="20"/>
                <w:szCs w:val="20"/>
              </w:rPr>
              <w:t>John Wilbanks (P</w:t>
            </w:r>
            <w:r w:rsidR="00683035">
              <w:rPr>
                <w:rFonts w:ascii="Arial" w:hAnsi="Arial" w:cs="Arial"/>
                <w:sz w:val="20"/>
                <w:szCs w:val="20"/>
              </w:rPr>
              <w:t>D</w:t>
            </w:r>
            <w:r>
              <w:rPr>
                <w:rFonts w:ascii="Arial" w:hAnsi="Arial" w:cs="Arial"/>
                <w:sz w:val="20"/>
                <w:szCs w:val="20"/>
              </w:rPr>
              <w:t>/P</w:t>
            </w:r>
            <w:r w:rsidR="00683035">
              <w:rPr>
                <w:rFonts w:ascii="Arial" w:hAnsi="Arial" w:cs="Arial"/>
                <w:sz w:val="20"/>
                <w:szCs w:val="20"/>
              </w:rPr>
              <w:t>I</w:t>
            </w:r>
            <w:r>
              <w:rPr>
                <w:rFonts w:ascii="Arial" w:hAnsi="Arial" w:cs="Arial"/>
                <w:sz w:val="20"/>
                <w:szCs w:val="20"/>
              </w:rPr>
              <w:t>)</w:t>
            </w:r>
            <w:r w:rsidR="00683035">
              <w:rPr>
                <w:rFonts w:ascii="Arial" w:hAnsi="Arial" w:cs="Arial"/>
                <w:sz w:val="20"/>
                <w:szCs w:val="20"/>
              </w:rPr>
              <w:br/>
            </w:r>
            <w:r w:rsidR="00683035" w:rsidRPr="00636F31">
              <w:rPr>
                <w:rFonts w:ascii="Arial" w:hAnsi="Arial" w:cs="Arial"/>
                <w:sz w:val="20"/>
                <w:szCs w:val="20"/>
              </w:rPr>
              <w:t>Kevin Patrick</w:t>
            </w:r>
          </w:p>
        </w:tc>
        <w:tc>
          <w:tcPr>
            <w:tcW w:w="2468" w:type="dxa"/>
            <w:tcBorders>
              <w:bottom w:val="single" w:sz="4" w:space="0" w:color="auto"/>
            </w:tcBorders>
            <w:vAlign w:val="center"/>
          </w:tcPr>
          <w:p w:rsidR="000B1891" w:rsidRPr="00636F31" w:rsidRDefault="000B1891" w:rsidP="00F91F79">
            <w:pPr>
              <w:spacing w:before="20" w:after="20"/>
              <w:rPr>
                <w:rFonts w:ascii="Arial" w:hAnsi="Arial" w:cs="Arial"/>
                <w:sz w:val="20"/>
                <w:szCs w:val="20"/>
              </w:rPr>
            </w:pPr>
            <w:r w:rsidRPr="00636F31">
              <w:rPr>
                <w:rFonts w:ascii="Arial" w:hAnsi="Arial" w:cs="Arial"/>
                <w:sz w:val="20"/>
                <w:szCs w:val="20"/>
              </w:rPr>
              <w:t>Working Group/Speaker</w:t>
            </w:r>
            <w:r w:rsidR="00683035">
              <w:rPr>
                <w:rFonts w:ascii="Arial" w:hAnsi="Arial" w:cs="Arial"/>
                <w:sz w:val="20"/>
                <w:szCs w:val="20"/>
              </w:rPr>
              <w:br/>
            </w:r>
            <w:r w:rsidR="00683035" w:rsidRPr="00636F31">
              <w:rPr>
                <w:rFonts w:ascii="Arial" w:hAnsi="Arial" w:cs="Arial"/>
                <w:sz w:val="20"/>
                <w:szCs w:val="20"/>
              </w:rPr>
              <w:t xml:space="preserve">Guest </w:t>
            </w:r>
            <w:r w:rsidR="00EC1F9B" w:rsidRPr="00636F31">
              <w:rPr>
                <w:rFonts w:ascii="Arial" w:hAnsi="Arial" w:cs="Arial"/>
                <w:sz w:val="20"/>
                <w:szCs w:val="20"/>
              </w:rPr>
              <w:t>S</w:t>
            </w:r>
            <w:r w:rsidR="00683035" w:rsidRPr="00636F31">
              <w:rPr>
                <w:rFonts w:ascii="Arial" w:hAnsi="Arial" w:cs="Arial"/>
                <w:sz w:val="20"/>
                <w:szCs w:val="20"/>
              </w:rPr>
              <w:t>peaker</w:t>
            </w:r>
          </w:p>
        </w:tc>
        <w:tc>
          <w:tcPr>
            <w:tcW w:w="2968" w:type="dxa"/>
            <w:tcBorders>
              <w:bottom w:val="nil"/>
            </w:tcBorders>
            <w:vAlign w:val="center"/>
          </w:tcPr>
          <w:p w:rsidR="000B1891" w:rsidRPr="00636F31" w:rsidRDefault="000B1891" w:rsidP="0012222B">
            <w:pPr>
              <w:spacing w:before="20" w:after="20"/>
              <w:rPr>
                <w:rFonts w:ascii="Arial" w:hAnsi="Arial" w:cs="Arial"/>
                <w:sz w:val="20"/>
                <w:szCs w:val="20"/>
              </w:rPr>
            </w:pPr>
            <w:r w:rsidRPr="00636F31">
              <w:rPr>
                <w:rFonts w:ascii="Arial" w:hAnsi="Arial" w:cs="Arial"/>
                <w:sz w:val="20"/>
                <w:szCs w:val="20"/>
              </w:rPr>
              <w:t>Sage Bionetworks</w:t>
            </w:r>
            <w:r w:rsidR="00683035">
              <w:rPr>
                <w:rFonts w:ascii="Arial" w:hAnsi="Arial" w:cs="Arial"/>
                <w:sz w:val="20"/>
                <w:szCs w:val="20"/>
              </w:rPr>
              <w:br/>
            </w:r>
            <w:r w:rsidR="00683035" w:rsidRPr="00636F31">
              <w:rPr>
                <w:rFonts w:ascii="Arial" w:hAnsi="Arial" w:cs="Arial"/>
                <w:sz w:val="20"/>
                <w:szCs w:val="20"/>
              </w:rPr>
              <w:t>U</w:t>
            </w:r>
            <w:r w:rsidR="00683035">
              <w:rPr>
                <w:rFonts w:ascii="Arial" w:hAnsi="Arial" w:cs="Arial"/>
                <w:sz w:val="20"/>
                <w:szCs w:val="20"/>
              </w:rPr>
              <w:t>.</w:t>
            </w:r>
            <w:r w:rsidR="00683035" w:rsidRPr="00636F31">
              <w:rPr>
                <w:rFonts w:ascii="Arial" w:hAnsi="Arial" w:cs="Arial"/>
                <w:sz w:val="20"/>
                <w:szCs w:val="20"/>
              </w:rPr>
              <w:t xml:space="preserve"> of California - San Diego</w:t>
            </w:r>
          </w:p>
        </w:tc>
      </w:tr>
      <w:tr w:rsidR="00685E47" w:rsidRPr="00636F31" w:rsidTr="00F91F79">
        <w:trPr>
          <w:cantSplit/>
          <w:trHeight w:val="194"/>
          <w:jc w:val="center"/>
        </w:trPr>
        <w:tc>
          <w:tcPr>
            <w:tcW w:w="1880" w:type="dxa"/>
            <w:vAlign w:val="center"/>
          </w:tcPr>
          <w:p w:rsidR="000B1891" w:rsidRPr="00636F31" w:rsidRDefault="000B1891" w:rsidP="0012222B">
            <w:pPr>
              <w:spacing w:before="20" w:after="20"/>
              <w:rPr>
                <w:rFonts w:ascii="Arial" w:hAnsi="Arial" w:cs="Arial"/>
                <w:sz w:val="20"/>
                <w:szCs w:val="20"/>
              </w:rPr>
            </w:pPr>
            <w:r w:rsidRPr="00636F31">
              <w:rPr>
                <w:rFonts w:ascii="Arial" w:hAnsi="Arial" w:cs="Arial"/>
                <w:sz w:val="20"/>
                <w:szCs w:val="20"/>
              </w:rPr>
              <w:t>Independent research</w:t>
            </w:r>
          </w:p>
        </w:tc>
        <w:tc>
          <w:tcPr>
            <w:tcW w:w="2312" w:type="dxa"/>
            <w:tcBorders>
              <w:top w:val="single" w:sz="4" w:space="0" w:color="auto"/>
              <w:bottom w:val="nil"/>
              <w:right w:val="single" w:sz="4" w:space="0" w:color="auto"/>
            </w:tcBorders>
            <w:vAlign w:val="center"/>
          </w:tcPr>
          <w:p w:rsidR="000B1891" w:rsidRPr="00636F31" w:rsidRDefault="000B1891" w:rsidP="0012222B">
            <w:pPr>
              <w:spacing w:before="20" w:after="20"/>
              <w:rPr>
                <w:rFonts w:ascii="Arial" w:hAnsi="Arial" w:cs="Arial"/>
                <w:sz w:val="20"/>
                <w:szCs w:val="20"/>
              </w:rPr>
            </w:pPr>
            <w:r w:rsidRPr="00636F31">
              <w:rPr>
                <w:rFonts w:ascii="Arial" w:hAnsi="Arial" w:cs="Arial"/>
                <w:sz w:val="20"/>
                <w:szCs w:val="20"/>
              </w:rPr>
              <w:t>Megan Doerr (co-I)</w:t>
            </w:r>
            <w:r w:rsidR="00683035">
              <w:rPr>
                <w:rFonts w:ascii="Arial" w:hAnsi="Arial" w:cs="Arial"/>
                <w:sz w:val="20"/>
                <w:szCs w:val="20"/>
              </w:rPr>
              <w:br/>
            </w:r>
            <w:r w:rsidR="00683035" w:rsidRPr="00636F31">
              <w:rPr>
                <w:rFonts w:ascii="Arial" w:hAnsi="Arial" w:cs="Arial"/>
                <w:sz w:val="20"/>
                <w:szCs w:val="20"/>
              </w:rPr>
              <w:t>Steve Hershman</w:t>
            </w:r>
          </w:p>
        </w:tc>
        <w:tc>
          <w:tcPr>
            <w:tcW w:w="2468" w:type="dxa"/>
            <w:tcBorders>
              <w:top w:val="single" w:sz="4" w:space="0" w:color="auto"/>
              <w:left w:val="single" w:sz="4" w:space="0" w:color="auto"/>
              <w:bottom w:val="single" w:sz="4" w:space="0" w:color="auto"/>
              <w:right w:val="single" w:sz="4" w:space="0" w:color="auto"/>
            </w:tcBorders>
            <w:vAlign w:val="center"/>
          </w:tcPr>
          <w:p w:rsidR="000B1891" w:rsidRPr="00636F31" w:rsidRDefault="000B1891" w:rsidP="00F91F79">
            <w:pPr>
              <w:spacing w:before="20" w:after="20"/>
              <w:rPr>
                <w:rFonts w:ascii="Arial" w:hAnsi="Arial" w:cs="Arial"/>
                <w:sz w:val="20"/>
                <w:szCs w:val="20"/>
              </w:rPr>
            </w:pPr>
            <w:r w:rsidRPr="00636F31">
              <w:rPr>
                <w:rFonts w:ascii="Arial" w:hAnsi="Arial" w:cs="Arial"/>
                <w:sz w:val="20"/>
                <w:szCs w:val="20"/>
              </w:rPr>
              <w:t>Working Group/Speaker</w:t>
            </w:r>
            <w:r w:rsidR="00683035">
              <w:rPr>
                <w:rFonts w:ascii="Arial" w:hAnsi="Arial" w:cs="Arial"/>
                <w:sz w:val="20"/>
                <w:szCs w:val="20"/>
              </w:rPr>
              <w:br/>
            </w:r>
            <w:r w:rsidR="00683035" w:rsidRPr="00636F31">
              <w:rPr>
                <w:rFonts w:ascii="Arial" w:hAnsi="Arial" w:cs="Arial"/>
                <w:sz w:val="20"/>
                <w:szCs w:val="20"/>
              </w:rPr>
              <w:t>Working Group/Speaker</w:t>
            </w:r>
          </w:p>
        </w:tc>
        <w:tc>
          <w:tcPr>
            <w:tcW w:w="2968" w:type="dxa"/>
            <w:tcBorders>
              <w:top w:val="single" w:sz="4" w:space="0" w:color="auto"/>
              <w:left w:val="single" w:sz="4" w:space="0" w:color="auto"/>
              <w:bottom w:val="nil"/>
            </w:tcBorders>
            <w:vAlign w:val="center"/>
          </w:tcPr>
          <w:p w:rsidR="000B1891" w:rsidRPr="00636F31" w:rsidRDefault="000B1891" w:rsidP="0012222B">
            <w:pPr>
              <w:spacing w:before="20" w:after="20"/>
              <w:rPr>
                <w:rFonts w:ascii="Arial" w:hAnsi="Arial" w:cs="Arial"/>
                <w:sz w:val="20"/>
                <w:szCs w:val="20"/>
              </w:rPr>
            </w:pPr>
            <w:r w:rsidRPr="00636F31">
              <w:rPr>
                <w:rFonts w:ascii="Arial" w:hAnsi="Arial" w:cs="Arial"/>
                <w:sz w:val="20"/>
                <w:szCs w:val="20"/>
              </w:rPr>
              <w:t>Sage Bionetworks</w:t>
            </w:r>
            <w:r w:rsidR="00683035">
              <w:rPr>
                <w:rFonts w:ascii="Arial" w:hAnsi="Arial" w:cs="Arial"/>
                <w:sz w:val="20"/>
                <w:szCs w:val="20"/>
              </w:rPr>
              <w:br/>
            </w:r>
            <w:r w:rsidR="00683035" w:rsidRPr="00636F31">
              <w:rPr>
                <w:rFonts w:ascii="Arial" w:hAnsi="Arial" w:cs="Arial"/>
                <w:sz w:val="20"/>
                <w:szCs w:val="20"/>
              </w:rPr>
              <w:t>LifeMap Solutions</w:t>
            </w:r>
          </w:p>
        </w:tc>
      </w:tr>
      <w:tr w:rsidR="00685E47" w:rsidRPr="00636F31" w:rsidTr="00F91F79">
        <w:trPr>
          <w:cantSplit/>
          <w:trHeight w:val="194"/>
          <w:jc w:val="center"/>
        </w:trPr>
        <w:tc>
          <w:tcPr>
            <w:tcW w:w="1880" w:type="dxa"/>
            <w:vAlign w:val="center"/>
          </w:tcPr>
          <w:p w:rsidR="000B1891" w:rsidRPr="00636F31" w:rsidRDefault="000B1891" w:rsidP="0012222B">
            <w:pPr>
              <w:spacing w:before="20" w:after="20"/>
              <w:rPr>
                <w:rFonts w:ascii="Arial" w:hAnsi="Arial" w:cs="Arial"/>
                <w:sz w:val="20"/>
                <w:szCs w:val="20"/>
              </w:rPr>
            </w:pPr>
            <w:r w:rsidRPr="00636F31">
              <w:rPr>
                <w:rFonts w:ascii="Arial" w:hAnsi="Arial" w:cs="Arial"/>
                <w:sz w:val="20"/>
                <w:szCs w:val="20"/>
              </w:rPr>
              <w:t>Patient-directed research</w:t>
            </w:r>
          </w:p>
        </w:tc>
        <w:tc>
          <w:tcPr>
            <w:tcW w:w="2312" w:type="dxa"/>
            <w:tcBorders>
              <w:top w:val="single" w:sz="4" w:space="0" w:color="auto"/>
              <w:bottom w:val="nil"/>
            </w:tcBorders>
            <w:vAlign w:val="center"/>
          </w:tcPr>
          <w:p w:rsidR="000B1891" w:rsidRPr="00636F31" w:rsidRDefault="000B1891" w:rsidP="0012222B">
            <w:pPr>
              <w:spacing w:before="20" w:after="20"/>
              <w:rPr>
                <w:rFonts w:ascii="Arial" w:hAnsi="Arial" w:cs="Arial"/>
                <w:sz w:val="20"/>
                <w:szCs w:val="20"/>
              </w:rPr>
            </w:pPr>
            <w:r w:rsidRPr="00636F31">
              <w:rPr>
                <w:rFonts w:ascii="Arial" w:hAnsi="Arial" w:cs="Arial"/>
                <w:sz w:val="20"/>
                <w:szCs w:val="20"/>
              </w:rPr>
              <w:t>Sharon F. Terry</w:t>
            </w:r>
            <w:r w:rsidR="00683035">
              <w:rPr>
                <w:rFonts w:ascii="Arial" w:hAnsi="Arial" w:cs="Arial"/>
                <w:sz w:val="20"/>
                <w:szCs w:val="20"/>
              </w:rPr>
              <w:br/>
            </w:r>
            <w:r w:rsidR="00683035" w:rsidRPr="00636F31">
              <w:rPr>
                <w:rFonts w:ascii="Arial" w:hAnsi="Arial" w:cs="Arial"/>
                <w:sz w:val="20"/>
                <w:szCs w:val="20"/>
              </w:rPr>
              <w:t>Sally Okun</w:t>
            </w:r>
            <w:r w:rsidR="00683035">
              <w:rPr>
                <w:rFonts w:ascii="Arial" w:hAnsi="Arial" w:cs="Arial"/>
                <w:sz w:val="20"/>
                <w:szCs w:val="20"/>
              </w:rPr>
              <w:br/>
            </w:r>
            <w:r w:rsidR="00683035" w:rsidRPr="00636F31">
              <w:rPr>
                <w:rFonts w:ascii="Arial" w:hAnsi="Arial" w:cs="Arial"/>
                <w:sz w:val="20"/>
                <w:szCs w:val="20"/>
              </w:rPr>
              <w:t>Sean Ahrens</w:t>
            </w:r>
          </w:p>
        </w:tc>
        <w:tc>
          <w:tcPr>
            <w:tcW w:w="2468" w:type="dxa"/>
            <w:tcBorders>
              <w:top w:val="single" w:sz="4" w:space="0" w:color="auto"/>
              <w:bottom w:val="nil"/>
            </w:tcBorders>
            <w:vAlign w:val="center"/>
          </w:tcPr>
          <w:p w:rsidR="000B1891" w:rsidRPr="00636F31" w:rsidRDefault="000B1891" w:rsidP="00F91F79">
            <w:pPr>
              <w:spacing w:before="20" w:after="20"/>
              <w:rPr>
                <w:rFonts w:ascii="Arial" w:hAnsi="Arial" w:cs="Arial"/>
                <w:sz w:val="20"/>
                <w:szCs w:val="20"/>
              </w:rPr>
            </w:pPr>
            <w:r w:rsidRPr="00636F31">
              <w:rPr>
                <w:rFonts w:ascii="Arial" w:hAnsi="Arial" w:cs="Arial"/>
                <w:sz w:val="20"/>
                <w:szCs w:val="20"/>
              </w:rPr>
              <w:t>Working Group/Author</w:t>
            </w:r>
            <w:r w:rsidR="00683035">
              <w:rPr>
                <w:rFonts w:ascii="Arial" w:hAnsi="Arial" w:cs="Arial"/>
                <w:sz w:val="20"/>
                <w:szCs w:val="20"/>
              </w:rPr>
              <w:br/>
            </w:r>
            <w:r w:rsidR="00683035" w:rsidRPr="00636F31">
              <w:rPr>
                <w:rFonts w:ascii="Arial" w:hAnsi="Arial" w:cs="Arial"/>
                <w:sz w:val="20"/>
                <w:szCs w:val="20"/>
              </w:rPr>
              <w:t>Working Group/Speaker</w:t>
            </w:r>
            <w:r w:rsidR="00683035">
              <w:rPr>
                <w:rFonts w:ascii="Arial" w:hAnsi="Arial" w:cs="Arial"/>
                <w:sz w:val="20"/>
                <w:szCs w:val="20"/>
              </w:rPr>
              <w:br/>
            </w:r>
            <w:r w:rsidR="00683035" w:rsidRPr="00636F31">
              <w:rPr>
                <w:rFonts w:ascii="Arial" w:hAnsi="Arial" w:cs="Arial"/>
                <w:sz w:val="20"/>
                <w:szCs w:val="20"/>
              </w:rPr>
              <w:t xml:space="preserve">Guest </w:t>
            </w:r>
            <w:r w:rsidR="00F91F79" w:rsidRPr="00636F31">
              <w:rPr>
                <w:rFonts w:ascii="Arial" w:hAnsi="Arial" w:cs="Arial"/>
                <w:sz w:val="20"/>
                <w:szCs w:val="20"/>
              </w:rPr>
              <w:t>S</w:t>
            </w:r>
            <w:r w:rsidR="00683035" w:rsidRPr="00636F31">
              <w:rPr>
                <w:rFonts w:ascii="Arial" w:hAnsi="Arial" w:cs="Arial"/>
                <w:sz w:val="20"/>
                <w:szCs w:val="20"/>
              </w:rPr>
              <w:t>peaker</w:t>
            </w:r>
          </w:p>
        </w:tc>
        <w:tc>
          <w:tcPr>
            <w:tcW w:w="2968" w:type="dxa"/>
            <w:tcBorders>
              <w:top w:val="single" w:sz="4" w:space="0" w:color="auto"/>
              <w:bottom w:val="nil"/>
            </w:tcBorders>
            <w:vAlign w:val="center"/>
          </w:tcPr>
          <w:p w:rsidR="000B1891" w:rsidRPr="00636F31" w:rsidRDefault="000B1891" w:rsidP="0012222B">
            <w:pPr>
              <w:spacing w:before="20" w:after="20"/>
              <w:rPr>
                <w:rFonts w:ascii="Arial" w:hAnsi="Arial" w:cs="Arial"/>
                <w:sz w:val="20"/>
                <w:szCs w:val="20"/>
              </w:rPr>
            </w:pPr>
            <w:r w:rsidRPr="00636F31">
              <w:rPr>
                <w:rFonts w:ascii="Arial" w:hAnsi="Arial" w:cs="Arial"/>
                <w:sz w:val="20"/>
                <w:szCs w:val="20"/>
              </w:rPr>
              <w:t>Genetic Alliance</w:t>
            </w:r>
            <w:r w:rsidR="00683035">
              <w:rPr>
                <w:rFonts w:ascii="Arial" w:hAnsi="Arial" w:cs="Arial"/>
                <w:sz w:val="20"/>
                <w:szCs w:val="20"/>
              </w:rPr>
              <w:br/>
            </w:r>
            <w:r w:rsidR="00683035" w:rsidRPr="00636F31">
              <w:rPr>
                <w:rFonts w:ascii="Arial" w:hAnsi="Arial" w:cs="Arial"/>
                <w:sz w:val="20"/>
                <w:szCs w:val="20"/>
              </w:rPr>
              <w:t>patientslikeme</w:t>
            </w:r>
            <w:r w:rsidR="00683035">
              <w:rPr>
                <w:rFonts w:ascii="Arial" w:hAnsi="Arial" w:cs="Arial"/>
                <w:sz w:val="20"/>
                <w:szCs w:val="20"/>
              </w:rPr>
              <w:br/>
            </w:r>
            <w:r w:rsidR="00683035" w:rsidRPr="00636F31">
              <w:rPr>
                <w:rFonts w:ascii="Arial" w:hAnsi="Arial" w:cs="Arial"/>
                <w:sz w:val="20"/>
                <w:szCs w:val="20"/>
              </w:rPr>
              <w:t>Crohnology</w:t>
            </w:r>
          </w:p>
        </w:tc>
      </w:tr>
      <w:tr w:rsidR="00685E47" w:rsidRPr="00636F31" w:rsidTr="00F91F79">
        <w:trPr>
          <w:cantSplit/>
          <w:trHeight w:val="194"/>
          <w:jc w:val="center"/>
        </w:trPr>
        <w:tc>
          <w:tcPr>
            <w:tcW w:w="1880" w:type="dxa"/>
            <w:vAlign w:val="center"/>
          </w:tcPr>
          <w:p w:rsidR="000B1891" w:rsidRPr="00636F31" w:rsidRDefault="000B1891" w:rsidP="0012222B">
            <w:pPr>
              <w:spacing w:before="20" w:after="20"/>
              <w:rPr>
                <w:rFonts w:ascii="Arial" w:hAnsi="Arial" w:cs="Arial"/>
                <w:sz w:val="20"/>
                <w:szCs w:val="20"/>
              </w:rPr>
            </w:pPr>
            <w:r w:rsidRPr="00636F31">
              <w:rPr>
                <w:rFonts w:ascii="Arial" w:hAnsi="Arial" w:cs="Arial"/>
                <w:sz w:val="20"/>
                <w:szCs w:val="20"/>
              </w:rPr>
              <w:t>Citizen science</w:t>
            </w:r>
          </w:p>
        </w:tc>
        <w:tc>
          <w:tcPr>
            <w:tcW w:w="2312" w:type="dxa"/>
            <w:tcBorders>
              <w:top w:val="single" w:sz="4" w:space="0" w:color="auto"/>
              <w:bottom w:val="nil"/>
            </w:tcBorders>
            <w:vAlign w:val="center"/>
          </w:tcPr>
          <w:p w:rsidR="000B1891" w:rsidRPr="00636F31" w:rsidRDefault="000B1891" w:rsidP="0012222B">
            <w:pPr>
              <w:spacing w:before="20" w:after="20"/>
              <w:rPr>
                <w:rFonts w:ascii="Arial" w:hAnsi="Arial" w:cs="Arial"/>
                <w:sz w:val="20"/>
                <w:szCs w:val="20"/>
              </w:rPr>
            </w:pPr>
            <w:r w:rsidRPr="00636F31">
              <w:rPr>
                <w:rFonts w:ascii="Arial" w:hAnsi="Arial" w:cs="Arial"/>
                <w:sz w:val="20"/>
                <w:szCs w:val="20"/>
              </w:rPr>
              <w:t>Nicolas Terry</w:t>
            </w:r>
            <w:r w:rsidR="006846CE">
              <w:rPr>
                <w:rFonts w:ascii="Arial" w:hAnsi="Arial" w:cs="Arial"/>
                <w:sz w:val="20"/>
                <w:szCs w:val="20"/>
              </w:rPr>
              <w:br/>
            </w:r>
            <w:r w:rsidR="006846CE" w:rsidRPr="00636F31">
              <w:rPr>
                <w:rFonts w:ascii="Arial" w:hAnsi="Arial" w:cs="Arial"/>
                <w:sz w:val="20"/>
                <w:szCs w:val="20"/>
              </w:rPr>
              <w:t>Ernesto Ramirez</w:t>
            </w:r>
            <w:r w:rsidR="006846CE">
              <w:rPr>
                <w:rFonts w:ascii="Arial" w:hAnsi="Arial" w:cs="Arial"/>
                <w:sz w:val="20"/>
                <w:szCs w:val="20"/>
              </w:rPr>
              <w:br/>
            </w:r>
            <w:r w:rsidR="006846CE" w:rsidRPr="00636F31">
              <w:rPr>
                <w:rFonts w:ascii="Arial" w:hAnsi="Arial" w:cs="Arial"/>
                <w:sz w:val="20"/>
                <w:szCs w:val="20"/>
              </w:rPr>
              <w:t>Steven Keating</w:t>
            </w:r>
          </w:p>
        </w:tc>
        <w:tc>
          <w:tcPr>
            <w:tcW w:w="2468" w:type="dxa"/>
            <w:tcBorders>
              <w:top w:val="single" w:sz="4" w:space="0" w:color="auto"/>
              <w:bottom w:val="nil"/>
            </w:tcBorders>
            <w:vAlign w:val="center"/>
          </w:tcPr>
          <w:p w:rsidR="000B1891" w:rsidRPr="00636F31" w:rsidRDefault="000B1891" w:rsidP="00F91F79">
            <w:pPr>
              <w:spacing w:before="20" w:after="20"/>
              <w:rPr>
                <w:rFonts w:ascii="Arial" w:hAnsi="Arial" w:cs="Arial"/>
                <w:sz w:val="20"/>
                <w:szCs w:val="20"/>
              </w:rPr>
            </w:pPr>
            <w:r w:rsidRPr="00636F31">
              <w:rPr>
                <w:rFonts w:ascii="Arial" w:hAnsi="Arial" w:cs="Arial"/>
                <w:sz w:val="20"/>
                <w:szCs w:val="20"/>
              </w:rPr>
              <w:t>Working Group/Author</w:t>
            </w:r>
            <w:r w:rsidR="006846CE">
              <w:rPr>
                <w:rFonts w:ascii="Arial" w:hAnsi="Arial" w:cs="Arial"/>
                <w:sz w:val="20"/>
                <w:szCs w:val="20"/>
              </w:rPr>
              <w:br/>
            </w:r>
            <w:r w:rsidR="006846CE" w:rsidRPr="00636F31">
              <w:rPr>
                <w:rFonts w:ascii="Arial" w:hAnsi="Arial" w:cs="Arial"/>
                <w:sz w:val="20"/>
                <w:szCs w:val="20"/>
              </w:rPr>
              <w:t xml:space="preserve">Guest </w:t>
            </w:r>
            <w:r w:rsidR="00F91F79" w:rsidRPr="00636F31">
              <w:rPr>
                <w:rFonts w:ascii="Arial" w:hAnsi="Arial" w:cs="Arial"/>
                <w:sz w:val="20"/>
                <w:szCs w:val="20"/>
              </w:rPr>
              <w:t>S</w:t>
            </w:r>
            <w:r w:rsidR="006846CE" w:rsidRPr="00636F31">
              <w:rPr>
                <w:rFonts w:ascii="Arial" w:hAnsi="Arial" w:cs="Arial"/>
                <w:sz w:val="20"/>
                <w:szCs w:val="20"/>
              </w:rPr>
              <w:t>peaker</w:t>
            </w:r>
            <w:r w:rsidR="006846CE">
              <w:rPr>
                <w:rFonts w:ascii="Arial" w:hAnsi="Arial" w:cs="Arial"/>
                <w:sz w:val="20"/>
                <w:szCs w:val="20"/>
              </w:rPr>
              <w:br/>
            </w:r>
            <w:r w:rsidR="006846CE" w:rsidRPr="00636F31">
              <w:rPr>
                <w:rFonts w:ascii="Arial" w:hAnsi="Arial" w:cs="Arial"/>
                <w:sz w:val="20"/>
                <w:szCs w:val="20"/>
              </w:rPr>
              <w:t xml:space="preserve">Guest </w:t>
            </w:r>
            <w:r w:rsidR="00F91F79" w:rsidRPr="00636F31">
              <w:rPr>
                <w:rFonts w:ascii="Arial" w:hAnsi="Arial" w:cs="Arial"/>
                <w:sz w:val="20"/>
                <w:szCs w:val="20"/>
              </w:rPr>
              <w:t>S</w:t>
            </w:r>
            <w:r w:rsidR="006846CE" w:rsidRPr="00636F31">
              <w:rPr>
                <w:rFonts w:ascii="Arial" w:hAnsi="Arial" w:cs="Arial"/>
                <w:sz w:val="20"/>
                <w:szCs w:val="20"/>
              </w:rPr>
              <w:t>peaker</w:t>
            </w:r>
          </w:p>
        </w:tc>
        <w:tc>
          <w:tcPr>
            <w:tcW w:w="2968" w:type="dxa"/>
            <w:tcBorders>
              <w:top w:val="single" w:sz="4" w:space="0" w:color="auto"/>
              <w:bottom w:val="nil"/>
            </w:tcBorders>
            <w:vAlign w:val="center"/>
          </w:tcPr>
          <w:p w:rsidR="000B1891" w:rsidRPr="00636F31" w:rsidRDefault="000B1891" w:rsidP="0012222B">
            <w:pPr>
              <w:spacing w:before="20" w:after="20"/>
              <w:rPr>
                <w:rFonts w:ascii="Arial" w:hAnsi="Arial" w:cs="Arial"/>
                <w:sz w:val="20"/>
                <w:szCs w:val="20"/>
              </w:rPr>
            </w:pPr>
            <w:r w:rsidRPr="00636F31">
              <w:rPr>
                <w:rFonts w:ascii="Arial" w:hAnsi="Arial" w:cs="Arial"/>
                <w:sz w:val="20"/>
                <w:szCs w:val="20"/>
              </w:rPr>
              <w:t>Indiana University</w:t>
            </w:r>
            <w:r w:rsidR="006846CE">
              <w:rPr>
                <w:rFonts w:ascii="Arial" w:hAnsi="Arial" w:cs="Arial"/>
                <w:sz w:val="20"/>
                <w:szCs w:val="20"/>
              </w:rPr>
              <w:br/>
            </w:r>
            <w:r w:rsidR="006846CE" w:rsidRPr="00636F31">
              <w:rPr>
                <w:rFonts w:ascii="Arial" w:hAnsi="Arial" w:cs="Arial"/>
                <w:sz w:val="20"/>
                <w:szCs w:val="20"/>
              </w:rPr>
              <w:t>Quantified Self</w:t>
            </w:r>
            <w:r w:rsidR="006846CE">
              <w:rPr>
                <w:rFonts w:ascii="Arial" w:hAnsi="Arial" w:cs="Arial"/>
                <w:sz w:val="20"/>
                <w:szCs w:val="20"/>
              </w:rPr>
              <w:br/>
            </w:r>
            <w:r w:rsidR="006846CE" w:rsidRPr="00636F31">
              <w:rPr>
                <w:rFonts w:ascii="Arial" w:hAnsi="Arial" w:cs="Arial"/>
                <w:sz w:val="20"/>
                <w:szCs w:val="20"/>
              </w:rPr>
              <w:t>Massachusetts Inst</w:t>
            </w:r>
            <w:r w:rsidR="006846CE">
              <w:rPr>
                <w:rFonts w:ascii="Arial" w:hAnsi="Arial" w:cs="Arial"/>
                <w:sz w:val="20"/>
                <w:szCs w:val="20"/>
              </w:rPr>
              <w:t>.</w:t>
            </w:r>
            <w:r w:rsidR="006846CE" w:rsidRPr="00636F31">
              <w:rPr>
                <w:rFonts w:ascii="Arial" w:hAnsi="Arial" w:cs="Arial"/>
                <w:sz w:val="20"/>
                <w:szCs w:val="20"/>
              </w:rPr>
              <w:t xml:space="preserve"> of Tech</w:t>
            </w:r>
          </w:p>
        </w:tc>
      </w:tr>
      <w:tr w:rsidR="00683035" w:rsidRPr="00636F31" w:rsidTr="00F91F79">
        <w:trPr>
          <w:cantSplit/>
          <w:trHeight w:val="351"/>
          <w:jc w:val="center"/>
        </w:trPr>
        <w:tc>
          <w:tcPr>
            <w:tcW w:w="1880" w:type="dxa"/>
            <w:vAlign w:val="center"/>
          </w:tcPr>
          <w:p w:rsidR="000B1891" w:rsidRPr="00636F31" w:rsidRDefault="000B1891" w:rsidP="0012222B">
            <w:pPr>
              <w:spacing w:before="20" w:after="20"/>
              <w:rPr>
                <w:rFonts w:ascii="Arial" w:hAnsi="Arial" w:cs="Arial"/>
                <w:sz w:val="20"/>
                <w:szCs w:val="20"/>
              </w:rPr>
            </w:pPr>
            <w:r w:rsidRPr="00636F31">
              <w:rPr>
                <w:rFonts w:ascii="Arial" w:hAnsi="Arial" w:cs="Arial"/>
                <w:sz w:val="20"/>
                <w:szCs w:val="20"/>
              </w:rPr>
              <w:t>Secondary use of health app data</w:t>
            </w:r>
          </w:p>
        </w:tc>
        <w:tc>
          <w:tcPr>
            <w:tcW w:w="2312" w:type="dxa"/>
            <w:tcBorders>
              <w:top w:val="single" w:sz="4" w:space="0" w:color="auto"/>
            </w:tcBorders>
            <w:vAlign w:val="center"/>
          </w:tcPr>
          <w:p w:rsidR="000B1891" w:rsidRPr="00636F31" w:rsidRDefault="000B1891" w:rsidP="0012222B">
            <w:pPr>
              <w:spacing w:before="20" w:after="20"/>
              <w:rPr>
                <w:rFonts w:ascii="Arial" w:hAnsi="Arial" w:cs="Arial"/>
                <w:sz w:val="20"/>
                <w:szCs w:val="20"/>
              </w:rPr>
            </w:pPr>
            <w:r w:rsidRPr="00636F31">
              <w:rPr>
                <w:rFonts w:ascii="Arial" w:hAnsi="Arial" w:cs="Arial"/>
                <w:sz w:val="20"/>
                <w:szCs w:val="20"/>
              </w:rPr>
              <w:t>Lori Andrews</w:t>
            </w:r>
          </w:p>
        </w:tc>
        <w:tc>
          <w:tcPr>
            <w:tcW w:w="2468" w:type="dxa"/>
            <w:tcBorders>
              <w:top w:val="single" w:sz="4" w:space="0" w:color="auto"/>
            </w:tcBorders>
            <w:vAlign w:val="center"/>
          </w:tcPr>
          <w:p w:rsidR="000B1891" w:rsidRPr="00636F31" w:rsidRDefault="000B1891" w:rsidP="00F91F79">
            <w:pPr>
              <w:spacing w:before="20" w:after="20"/>
              <w:rPr>
                <w:rFonts w:ascii="Arial" w:hAnsi="Arial" w:cs="Arial"/>
                <w:sz w:val="20"/>
                <w:szCs w:val="20"/>
              </w:rPr>
            </w:pPr>
            <w:r w:rsidRPr="00636F31">
              <w:rPr>
                <w:rFonts w:ascii="Arial" w:hAnsi="Arial" w:cs="Arial"/>
                <w:sz w:val="20"/>
                <w:szCs w:val="20"/>
              </w:rPr>
              <w:t>Working Group/Author</w:t>
            </w:r>
          </w:p>
        </w:tc>
        <w:tc>
          <w:tcPr>
            <w:tcW w:w="2968" w:type="dxa"/>
            <w:tcBorders>
              <w:top w:val="single" w:sz="4" w:space="0" w:color="auto"/>
            </w:tcBorders>
            <w:vAlign w:val="center"/>
          </w:tcPr>
          <w:p w:rsidR="000B1891" w:rsidRPr="00636F31" w:rsidRDefault="000B1891" w:rsidP="0012222B">
            <w:pPr>
              <w:spacing w:before="20" w:after="20"/>
              <w:rPr>
                <w:rFonts w:ascii="Arial" w:hAnsi="Arial" w:cs="Arial"/>
                <w:sz w:val="20"/>
                <w:szCs w:val="20"/>
              </w:rPr>
            </w:pPr>
            <w:r w:rsidRPr="00636F31">
              <w:rPr>
                <w:rFonts w:ascii="Arial" w:hAnsi="Arial" w:cs="Arial"/>
                <w:sz w:val="20"/>
                <w:szCs w:val="20"/>
              </w:rPr>
              <w:t>Chicago-Kent College of Law, Illinois Institute of Technology</w:t>
            </w:r>
          </w:p>
        </w:tc>
      </w:tr>
      <w:tr w:rsidR="00683035" w:rsidRPr="00636F31" w:rsidTr="00F91F79">
        <w:trPr>
          <w:cantSplit/>
          <w:trHeight w:val="194"/>
          <w:jc w:val="center"/>
        </w:trPr>
        <w:tc>
          <w:tcPr>
            <w:tcW w:w="1880" w:type="dxa"/>
            <w:vAlign w:val="center"/>
          </w:tcPr>
          <w:p w:rsidR="000B1891" w:rsidRPr="00636F31" w:rsidRDefault="000B1891" w:rsidP="0012222B">
            <w:pPr>
              <w:spacing w:before="20" w:after="20"/>
              <w:rPr>
                <w:rFonts w:ascii="Arial" w:hAnsi="Arial" w:cs="Arial"/>
                <w:sz w:val="20"/>
                <w:szCs w:val="20"/>
              </w:rPr>
            </w:pPr>
            <w:r w:rsidRPr="00636F31">
              <w:rPr>
                <w:rFonts w:ascii="Arial" w:hAnsi="Arial" w:cs="Arial"/>
                <w:sz w:val="20"/>
                <w:szCs w:val="20"/>
              </w:rPr>
              <w:t>Thought leader interviews</w:t>
            </w:r>
          </w:p>
        </w:tc>
        <w:tc>
          <w:tcPr>
            <w:tcW w:w="2312" w:type="dxa"/>
            <w:vAlign w:val="center"/>
          </w:tcPr>
          <w:p w:rsidR="000B1891" w:rsidRPr="00636F31" w:rsidRDefault="000B1891" w:rsidP="0012222B">
            <w:pPr>
              <w:spacing w:before="20" w:after="20"/>
              <w:rPr>
                <w:rFonts w:ascii="Arial" w:hAnsi="Arial" w:cs="Arial"/>
                <w:sz w:val="20"/>
                <w:szCs w:val="20"/>
              </w:rPr>
            </w:pPr>
            <w:r w:rsidRPr="00636F31">
              <w:rPr>
                <w:rFonts w:ascii="Arial" w:hAnsi="Arial" w:cs="Arial"/>
                <w:sz w:val="20"/>
                <w:szCs w:val="20"/>
              </w:rPr>
              <w:t>Laura Beskow (co-I)</w:t>
            </w:r>
          </w:p>
        </w:tc>
        <w:tc>
          <w:tcPr>
            <w:tcW w:w="2468" w:type="dxa"/>
            <w:vAlign w:val="center"/>
          </w:tcPr>
          <w:p w:rsidR="000B1891" w:rsidRPr="00636F31" w:rsidRDefault="000B1891" w:rsidP="00F91F79">
            <w:pPr>
              <w:spacing w:before="20" w:after="20"/>
              <w:rPr>
                <w:rFonts w:ascii="Arial" w:hAnsi="Arial" w:cs="Arial"/>
                <w:sz w:val="20"/>
                <w:szCs w:val="20"/>
              </w:rPr>
            </w:pPr>
            <w:r w:rsidRPr="00636F31">
              <w:rPr>
                <w:rFonts w:ascii="Arial" w:hAnsi="Arial" w:cs="Arial"/>
                <w:sz w:val="20"/>
                <w:szCs w:val="20"/>
              </w:rPr>
              <w:t>Working Group/Author</w:t>
            </w:r>
          </w:p>
        </w:tc>
        <w:tc>
          <w:tcPr>
            <w:tcW w:w="2968" w:type="dxa"/>
            <w:vAlign w:val="center"/>
          </w:tcPr>
          <w:p w:rsidR="000B1891" w:rsidRPr="00636F31" w:rsidRDefault="000B1891" w:rsidP="0012222B">
            <w:pPr>
              <w:spacing w:before="20" w:after="20"/>
              <w:rPr>
                <w:rFonts w:ascii="Arial" w:hAnsi="Arial" w:cs="Arial"/>
                <w:sz w:val="20"/>
                <w:szCs w:val="20"/>
              </w:rPr>
            </w:pPr>
            <w:r w:rsidRPr="00636F31">
              <w:rPr>
                <w:rFonts w:ascii="Arial" w:hAnsi="Arial" w:cs="Arial"/>
                <w:sz w:val="20"/>
                <w:szCs w:val="20"/>
              </w:rPr>
              <w:t>Duke University</w:t>
            </w:r>
          </w:p>
        </w:tc>
      </w:tr>
    </w:tbl>
    <w:p w:rsidR="0079006A" w:rsidRDefault="0079006A" w:rsidP="009A5F5D">
      <w:pPr>
        <w:spacing w:before="120" w:after="120" w:line="240" w:lineRule="exact"/>
        <w:jc w:val="both"/>
        <w:rPr>
          <w:rFonts w:ascii="Arial" w:hAnsi="Arial"/>
          <w:b/>
          <w:sz w:val="22"/>
        </w:rPr>
      </w:pPr>
    </w:p>
    <w:p w:rsidR="003928EB" w:rsidRDefault="007054A3" w:rsidP="00642344">
      <w:pPr>
        <w:spacing w:before="120" w:after="240" w:line="240" w:lineRule="exact"/>
        <w:jc w:val="both"/>
        <w:rPr>
          <w:rFonts w:ascii="Arial" w:hAnsi="Arial"/>
          <w:sz w:val="22"/>
        </w:rPr>
      </w:pPr>
      <w:r w:rsidRPr="007054A3">
        <w:rPr>
          <w:rFonts w:ascii="Arial" w:hAnsi="Arial"/>
          <w:b/>
          <w:sz w:val="22"/>
        </w:rPr>
        <w:t>Stage 2:</w:t>
      </w:r>
      <w:r>
        <w:rPr>
          <w:rFonts w:ascii="Arial" w:hAnsi="Arial"/>
          <w:b/>
          <w:sz w:val="22"/>
        </w:rPr>
        <w:t xml:space="preserve"> </w:t>
      </w:r>
      <w:r w:rsidR="006F5C14">
        <w:rPr>
          <w:rFonts w:ascii="Arial" w:hAnsi="Arial"/>
          <w:sz w:val="22"/>
        </w:rPr>
        <w:t>Working Group M</w:t>
      </w:r>
      <w:r w:rsidR="006A17F6" w:rsidRPr="006A17F6">
        <w:rPr>
          <w:rFonts w:ascii="Arial" w:hAnsi="Arial"/>
          <w:sz w:val="22"/>
        </w:rPr>
        <w:t>eeting #2</w:t>
      </w:r>
      <w:r w:rsidR="006A17F6">
        <w:rPr>
          <w:rFonts w:ascii="Arial" w:hAnsi="Arial"/>
          <w:sz w:val="22"/>
        </w:rPr>
        <w:t>, lasting 1.5 days, will consider t</w:t>
      </w:r>
      <w:r w:rsidRPr="007054A3">
        <w:rPr>
          <w:rFonts w:ascii="Arial" w:hAnsi="Arial"/>
          <w:sz w:val="22"/>
        </w:rPr>
        <w:t xml:space="preserve">he </w:t>
      </w:r>
      <w:r w:rsidR="006A17F6">
        <w:rPr>
          <w:rFonts w:ascii="Arial" w:hAnsi="Arial"/>
          <w:sz w:val="22"/>
        </w:rPr>
        <w:t xml:space="preserve">preliminary findings </w:t>
      </w:r>
      <w:r w:rsidRPr="007054A3">
        <w:rPr>
          <w:rFonts w:ascii="Arial" w:hAnsi="Arial"/>
          <w:sz w:val="22"/>
        </w:rPr>
        <w:t>of the thought-leader interviews</w:t>
      </w:r>
      <w:r>
        <w:rPr>
          <w:rFonts w:ascii="Arial" w:hAnsi="Arial"/>
          <w:sz w:val="22"/>
        </w:rPr>
        <w:t xml:space="preserve">. The Working Group will discuss how these </w:t>
      </w:r>
      <w:r w:rsidR="006A17F6">
        <w:rPr>
          <w:rFonts w:ascii="Arial" w:hAnsi="Arial"/>
          <w:sz w:val="22"/>
        </w:rPr>
        <w:t>findings</w:t>
      </w:r>
      <w:r>
        <w:rPr>
          <w:rFonts w:ascii="Arial" w:hAnsi="Arial"/>
          <w:sz w:val="22"/>
        </w:rPr>
        <w:t xml:space="preserve"> </w:t>
      </w:r>
      <w:r w:rsidR="00563547">
        <w:rPr>
          <w:rFonts w:ascii="Arial" w:hAnsi="Arial"/>
          <w:sz w:val="22"/>
        </w:rPr>
        <w:t>affect</w:t>
      </w:r>
      <w:r>
        <w:rPr>
          <w:rFonts w:ascii="Arial" w:hAnsi="Arial"/>
          <w:sz w:val="22"/>
        </w:rPr>
        <w:t xml:space="preserve"> their specific areas of research. </w:t>
      </w:r>
      <w:r w:rsidR="00522542">
        <w:rPr>
          <w:rFonts w:ascii="Arial" w:hAnsi="Arial"/>
          <w:sz w:val="22"/>
        </w:rPr>
        <w:t xml:space="preserve">Additional presentations will </w:t>
      </w:r>
      <w:r w:rsidR="006F5C14">
        <w:rPr>
          <w:rFonts w:ascii="Arial" w:hAnsi="Arial"/>
          <w:sz w:val="22"/>
        </w:rPr>
        <w:t xml:space="preserve">consider </w:t>
      </w:r>
      <w:r w:rsidR="00C37B8A">
        <w:rPr>
          <w:rFonts w:ascii="Arial" w:hAnsi="Arial"/>
          <w:sz w:val="22"/>
        </w:rPr>
        <w:t xml:space="preserve">key principles of health research regulation, with the goal of identifying those elements that </w:t>
      </w:r>
      <w:r w:rsidR="00076DE6">
        <w:rPr>
          <w:rFonts w:ascii="Arial" w:hAnsi="Arial"/>
          <w:sz w:val="22"/>
        </w:rPr>
        <w:t>might</w:t>
      </w:r>
      <w:r w:rsidR="00C37B8A">
        <w:rPr>
          <w:rFonts w:ascii="Arial" w:hAnsi="Arial"/>
          <w:sz w:val="22"/>
        </w:rPr>
        <w:t xml:space="preserve"> be applied (in some fashion) to unregulated </w:t>
      </w:r>
      <w:r w:rsidR="006F5C14">
        <w:rPr>
          <w:rFonts w:ascii="Arial" w:hAnsi="Arial"/>
          <w:sz w:val="22"/>
        </w:rPr>
        <w:t>mH</w:t>
      </w:r>
      <w:r w:rsidR="00C37B8A">
        <w:rPr>
          <w:rFonts w:ascii="Arial" w:hAnsi="Arial"/>
          <w:sz w:val="22"/>
        </w:rPr>
        <w:t>ealth</w:t>
      </w:r>
      <w:r w:rsidR="007277E9">
        <w:rPr>
          <w:rFonts w:ascii="Arial" w:hAnsi="Arial"/>
          <w:sz w:val="22"/>
        </w:rPr>
        <w:t xml:space="preserve"> research</w:t>
      </w:r>
      <w:r w:rsidR="00522542">
        <w:rPr>
          <w:rFonts w:ascii="Arial" w:hAnsi="Arial"/>
          <w:sz w:val="22"/>
        </w:rPr>
        <w:t xml:space="preserve">. </w:t>
      </w:r>
      <w:r w:rsidR="00C37B8A">
        <w:rPr>
          <w:rFonts w:ascii="Arial" w:hAnsi="Arial"/>
          <w:sz w:val="22"/>
        </w:rPr>
        <w:t>Topics inclu</w:t>
      </w:r>
      <w:r w:rsidR="006F5C14">
        <w:rPr>
          <w:rFonts w:ascii="Arial" w:hAnsi="Arial"/>
          <w:sz w:val="22"/>
        </w:rPr>
        <w:t xml:space="preserve">de: (1) Common Rule and proposed revisions; (2) </w:t>
      </w:r>
      <w:r w:rsidR="00C37B8A">
        <w:rPr>
          <w:rFonts w:ascii="Arial" w:hAnsi="Arial"/>
          <w:sz w:val="22"/>
        </w:rPr>
        <w:t>HIPAA Privacy Rule; (3) FDA regulation of research and m</w:t>
      </w:r>
      <w:r w:rsidR="006F5C14">
        <w:rPr>
          <w:rFonts w:ascii="Arial" w:hAnsi="Arial"/>
          <w:sz w:val="22"/>
        </w:rPr>
        <w:t xml:space="preserve">Health apps; (4) role of IRBs and </w:t>
      </w:r>
      <w:r w:rsidR="00C37B8A">
        <w:rPr>
          <w:rFonts w:ascii="Arial" w:hAnsi="Arial"/>
          <w:sz w:val="22"/>
        </w:rPr>
        <w:t>external review of unregulated research; (5) privacy, confidential</w:t>
      </w:r>
      <w:r w:rsidR="006F5C14">
        <w:rPr>
          <w:rFonts w:ascii="Arial" w:hAnsi="Arial"/>
          <w:sz w:val="22"/>
        </w:rPr>
        <w:t>ity, and security</w:t>
      </w:r>
      <w:r w:rsidR="00C37B8A">
        <w:rPr>
          <w:rFonts w:ascii="Arial" w:hAnsi="Arial"/>
          <w:sz w:val="22"/>
        </w:rPr>
        <w:t>;</w:t>
      </w:r>
      <w:r w:rsidR="006F5C14">
        <w:rPr>
          <w:rFonts w:ascii="Arial" w:hAnsi="Arial"/>
          <w:sz w:val="22"/>
        </w:rPr>
        <w:t xml:space="preserve"> and (6) </w:t>
      </w:r>
      <w:r w:rsidR="00C37B8A">
        <w:rPr>
          <w:rFonts w:ascii="Arial" w:hAnsi="Arial"/>
          <w:sz w:val="22"/>
        </w:rPr>
        <w:t xml:space="preserve">data sharing and publication. </w:t>
      </w:r>
      <w:r w:rsidR="00522542">
        <w:rPr>
          <w:rFonts w:ascii="Arial" w:hAnsi="Arial"/>
          <w:sz w:val="22"/>
        </w:rPr>
        <w:t>As the focus shift</w:t>
      </w:r>
      <w:r w:rsidR="00572B48">
        <w:rPr>
          <w:rFonts w:ascii="Arial" w:hAnsi="Arial"/>
          <w:sz w:val="22"/>
        </w:rPr>
        <w:t xml:space="preserve">s to policy development, </w:t>
      </w:r>
      <w:r w:rsidR="007277E9">
        <w:rPr>
          <w:rFonts w:ascii="Arial" w:hAnsi="Arial"/>
          <w:sz w:val="22"/>
        </w:rPr>
        <w:t>proposals</w:t>
      </w:r>
      <w:r w:rsidR="00522542">
        <w:rPr>
          <w:rFonts w:ascii="Arial" w:hAnsi="Arial"/>
          <w:sz w:val="22"/>
        </w:rPr>
        <w:t xml:space="preserve"> </w:t>
      </w:r>
      <w:r w:rsidR="00C37B8A">
        <w:rPr>
          <w:rFonts w:ascii="Arial" w:hAnsi="Arial"/>
          <w:sz w:val="22"/>
        </w:rPr>
        <w:t xml:space="preserve">drafted by the speakers </w:t>
      </w:r>
      <w:r w:rsidR="00522542">
        <w:rPr>
          <w:rFonts w:ascii="Arial" w:hAnsi="Arial"/>
          <w:sz w:val="22"/>
        </w:rPr>
        <w:t xml:space="preserve">will be </w:t>
      </w:r>
      <w:r w:rsidR="00563547">
        <w:rPr>
          <w:rFonts w:ascii="Arial" w:hAnsi="Arial"/>
          <w:sz w:val="22"/>
        </w:rPr>
        <w:t xml:space="preserve">presented and </w:t>
      </w:r>
      <w:r w:rsidR="00572B48">
        <w:rPr>
          <w:rFonts w:ascii="Arial" w:hAnsi="Arial"/>
          <w:sz w:val="22"/>
        </w:rPr>
        <w:t>discussed</w:t>
      </w:r>
      <w:r w:rsidR="00522542">
        <w:rPr>
          <w:rFonts w:ascii="Arial" w:hAnsi="Arial"/>
          <w:sz w:val="22"/>
        </w:rPr>
        <w:t xml:space="preserve">. </w:t>
      </w:r>
      <w:r w:rsidR="00A61FB6">
        <w:rPr>
          <w:rFonts w:ascii="Arial" w:hAnsi="Arial"/>
          <w:sz w:val="22"/>
        </w:rPr>
        <w:t>A</w:t>
      </w:r>
      <w:r w:rsidR="00C37B8A">
        <w:rPr>
          <w:rFonts w:ascii="Arial" w:hAnsi="Arial"/>
          <w:sz w:val="22"/>
        </w:rPr>
        <w:t xml:space="preserve"> </w:t>
      </w:r>
      <w:r w:rsidR="00522542">
        <w:rPr>
          <w:rFonts w:ascii="Arial" w:hAnsi="Arial"/>
          <w:sz w:val="22"/>
        </w:rPr>
        <w:t xml:space="preserve">summary of the </w:t>
      </w:r>
      <w:r w:rsidR="00076DE6">
        <w:rPr>
          <w:rFonts w:ascii="Arial" w:hAnsi="Arial"/>
          <w:sz w:val="22"/>
        </w:rPr>
        <w:t xml:space="preserve">topics and </w:t>
      </w:r>
      <w:r w:rsidR="00522542">
        <w:rPr>
          <w:rFonts w:ascii="Arial" w:hAnsi="Arial"/>
          <w:sz w:val="22"/>
        </w:rPr>
        <w:t>speakers follows</w:t>
      </w:r>
      <w:r w:rsidR="00076DE6">
        <w:rPr>
          <w:rFonts w:ascii="Arial" w:hAnsi="Arial"/>
          <w:sz w:val="22"/>
        </w:rPr>
        <w:t xml:space="preserve"> (see Appendix for a detailed schedule)</w:t>
      </w:r>
      <w:r w:rsidR="00522542">
        <w:rPr>
          <w:rFonts w:ascii="Arial" w:hAnsi="Arial"/>
          <w:sz w:val="22"/>
        </w:rPr>
        <w:t>.</w:t>
      </w:r>
    </w:p>
    <w:tbl>
      <w:tblPr>
        <w:tblStyle w:val="TableGrid"/>
        <w:tblW w:w="0" w:type="auto"/>
        <w:jc w:val="center"/>
        <w:tblLook w:val="04A0" w:firstRow="1" w:lastRow="0" w:firstColumn="1" w:lastColumn="0" w:noHBand="0" w:noVBand="1"/>
      </w:tblPr>
      <w:tblGrid>
        <w:gridCol w:w="2705"/>
        <w:gridCol w:w="2403"/>
        <w:gridCol w:w="2407"/>
        <w:gridCol w:w="2880"/>
      </w:tblGrid>
      <w:tr w:rsidR="00BB58A6" w:rsidRPr="0012222B" w:rsidTr="007556AB">
        <w:trPr>
          <w:cantSplit/>
          <w:trHeight w:val="233"/>
          <w:jc w:val="center"/>
        </w:trPr>
        <w:tc>
          <w:tcPr>
            <w:tcW w:w="10395" w:type="dxa"/>
            <w:gridSpan w:val="4"/>
            <w:tcBorders>
              <w:top w:val="single" w:sz="18" w:space="0" w:color="auto"/>
              <w:left w:val="single" w:sz="18" w:space="0" w:color="auto"/>
              <w:bottom w:val="nil"/>
              <w:right w:val="single" w:sz="18" w:space="0" w:color="auto"/>
            </w:tcBorders>
          </w:tcPr>
          <w:p w:rsidR="00BB58A6" w:rsidRPr="0012222B" w:rsidRDefault="00BB58A6" w:rsidP="00343B51">
            <w:pPr>
              <w:jc w:val="center"/>
              <w:rPr>
                <w:rFonts w:ascii="Arial" w:hAnsi="Arial" w:cs="Arial"/>
                <w:sz w:val="20"/>
                <w:szCs w:val="20"/>
              </w:rPr>
            </w:pPr>
            <w:r w:rsidRPr="0012222B">
              <w:rPr>
                <w:rFonts w:ascii="Arial" w:hAnsi="Arial" w:cs="Arial"/>
                <w:b/>
                <w:sz w:val="20"/>
                <w:szCs w:val="20"/>
              </w:rPr>
              <w:t>Working Group Meeting #2 --Thought-Leader Input and Regulatory Framework</w:t>
            </w:r>
          </w:p>
        </w:tc>
      </w:tr>
      <w:tr w:rsidR="00BB58A6" w:rsidRPr="0012222B" w:rsidTr="007556AB">
        <w:trPr>
          <w:cantSplit/>
          <w:trHeight w:val="233"/>
          <w:jc w:val="center"/>
        </w:trPr>
        <w:tc>
          <w:tcPr>
            <w:tcW w:w="10395" w:type="dxa"/>
            <w:gridSpan w:val="4"/>
            <w:tcBorders>
              <w:top w:val="nil"/>
              <w:left w:val="single" w:sz="18" w:space="0" w:color="auto"/>
              <w:bottom w:val="nil"/>
              <w:right w:val="single" w:sz="18" w:space="0" w:color="auto"/>
            </w:tcBorders>
          </w:tcPr>
          <w:p w:rsidR="00BB58A6" w:rsidRPr="0012222B" w:rsidRDefault="00BB58A6" w:rsidP="00E2783A">
            <w:pPr>
              <w:jc w:val="center"/>
              <w:rPr>
                <w:rFonts w:ascii="Arial" w:hAnsi="Arial" w:cs="Arial"/>
                <w:sz w:val="20"/>
                <w:szCs w:val="20"/>
              </w:rPr>
            </w:pPr>
            <w:r w:rsidRPr="0012222B">
              <w:rPr>
                <w:rFonts w:ascii="Arial" w:hAnsi="Arial" w:cs="Arial"/>
                <w:sz w:val="20"/>
                <w:szCs w:val="20"/>
              </w:rPr>
              <w:t xml:space="preserve">Chicago: </w:t>
            </w:r>
            <w:r w:rsidR="00E2783A">
              <w:rPr>
                <w:rFonts w:ascii="Arial" w:hAnsi="Arial" w:cs="Arial"/>
                <w:sz w:val="20"/>
                <w:szCs w:val="20"/>
              </w:rPr>
              <w:t>March</w:t>
            </w:r>
            <w:r w:rsidRPr="0012222B">
              <w:rPr>
                <w:rFonts w:ascii="Arial" w:hAnsi="Arial" w:cs="Arial"/>
                <w:sz w:val="20"/>
                <w:szCs w:val="20"/>
              </w:rPr>
              <w:t xml:space="preserve"> 2018</w:t>
            </w:r>
          </w:p>
        </w:tc>
      </w:tr>
      <w:tr w:rsidR="007556AB" w:rsidRPr="0012222B" w:rsidTr="007556AB">
        <w:trPr>
          <w:cantSplit/>
          <w:trHeight w:val="233"/>
          <w:jc w:val="center"/>
        </w:trPr>
        <w:tc>
          <w:tcPr>
            <w:tcW w:w="2705" w:type="dxa"/>
            <w:tcBorders>
              <w:left w:val="single" w:sz="18" w:space="0" w:color="auto"/>
            </w:tcBorders>
            <w:vAlign w:val="center"/>
          </w:tcPr>
          <w:p w:rsidR="008F5816" w:rsidRPr="0012222B" w:rsidRDefault="008F5816" w:rsidP="00343B51">
            <w:pPr>
              <w:jc w:val="center"/>
              <w:rPr>
                <w:rFonts w:ascii="Arial" w:hAnsi="Arial" w:cs="Arial"/>
                <w:b/>
                <w:sz w:val="20"/>
                <w:szCs w:val="20"/>
              </w:rPr>
            </w:pPr>
            <w:r w:rsidRPr="0012222B">
              <w:rPr>
                <w:rFonts w:ascii="Arial" w:hAnsi="Arial" w:cs="Arial"/>
                <w:b/>
                <w:sz w:val="20"/>
                <w:szCs w:val="20"/>
              </w:rPr>
              <w:t>Topic</w:t>
            </w:r>
          </w:p>
        </w:tc>
        <w:tc>
          <w:tcPr>
            <w:tcW w:w="2403" w:type="dxa"/>
            <w:vAlign w:val="center"/>
          </w:tcPr>
          <w:p w:rsidR="008F5816" w:rsidRPr="0012222B" w:rsidRDefault="008F5816" w:rsidP="00343B51">
            <w:pPr>
              <w:jc w:val="center"/>
              <w:rPr>
                <w:rFonts w:ascii="Arial" w:hAnsi="Arial" w:cs="Arial"/>
                <w:b/>
                <w:sz w:val="20"/>
                <w:szCs w:val="20"/>
              </w:rPr>
            </w:pPr>
            <w:r w:rsidRPr="0012222B">
              <w:rPr>
                <w:rFonts w:ascii="Arial" w:hAnsi="Arial" w:cs="Arial"/>
                <w:b/>
                <w:sz w:val="20"/>
                <w:szCs w:val="20"/>
              </w:rPr>
              <w:t>Speaker</w:t>
            </w:r>
          </w:p>
        </w:tc>
        <w:tc>
          <w:tcPr>
            <w:tcW w:w="2407" w:type="dxa"/>
            <w:vAlign w:val="center"/>
          </w:tcPr>
          <w:p w:rsidR="008F5816" w:rsidRPr="0012222B" w:rsidRDefault="008F5816" w:rsidP="008F5816">
            <w:pPr>
              <w:jc w:val="center"/>
              <w:rPr>
                <w:rFonts w:ascii="Arial" w:hAnsi="Arial" w:cs="Arial"/>
                <w:b/>
                <w:sz w:val="20"/>
                <w:szCs w:val="20"/>
              </w:rPr>
            </w:pPr>
            <w:r w:rsidRPr="0012222B">
              <w:rPr>
                <w:rFonts w:ascii="Arial" w:hAnsi="Arial" w:cs="Arial"/>
                <w:b/>
                <w:sz w:val="20"/>
                <w:szCs w:val="20"/>
              </w:rPr>
              <w:t>Project Role</w:t>
            </w:r>
          </w:p>
        </w:tc>
        <w:tc>
          <w:tcPr>
            <w:tcW w:w="2880" w:type="dxa"/>
            <w:tcBorders>
              <w:right w:val="single" w:sz="18" w:space="0" w:color="auto"/>
            </w:tcBorders>
            <w:vAlign w:val="center"/>
          </w:tcPr>
          <w:p w:rsidR="008F5816" w:rsidRPr="0012222B" w:rsidRDefault="008F5816" w:rsidP="00343B51">
            <w:pPr>
              <w:jc w:val="center"/>
              <w:rPr>
                <w:rFonts w:ascii="Arial" w:hAnsi="Arial" w:cs="Arial"/>
                <w:b/>
                <w:sz w:val="20"/>
                <w:szCs w:val="20"/>
              </w:rPr>
            </w:pPr>
            <w:r w:rsidRPr="0012222B">
              <w:rPr>
                <w:rFonts w:ascii="Arial" w:hAnsi="Arial" w:cs="Arial"/>
                <w:b/>
                <w:sz w:val="20"/>
                <w:szCs w:val="20"/>
              </w:rPr>
              <w:t>Affiliation</w:t>
            </w:r>
          </w:p>
        </w:tc>
      </w:tr>
      <w:tr w:rsidR="007556AB" w:rsidRPr="0012222B" w:rsidTr="002B4166">
        <w:trPr>
          <w:cantSplit/>
          <w:trHeight w:val="288"/>
          <w:jc w:val="center"/>
        </w:trPr>
        <w:tc>
          <w:tcPr>
            <w:tcW w:w="2705" w:type="dxa"/>
            <w:tcBorders>
              <w:left w:val="single" w:sz="18" w:space="0" w:color="auto"/>
            </w:tcBorders>
            <w:vAlign w:val="center"/>
          </w:tcPr>
          <w:p w:rsidR="008F5816" w:rsidRPr="0012222B" w:rsidRDefault="008F5816" w:rsidP="006F2008">
            <w:pPr>
              <w:rPr>
                <w:rFonts w:ascii="Arial" w:hAnsi="Arial" w:cs="Arial"/>
                <w:sz w:val="20"/>
                <w:szCs w:val="20"/>
              </w:rPr>
            </w:pPr>
            <w:r w:rsidRPr="0012222B">
              <w:rPr>
                <w:rFonts w:ascii="Arial" w:hAnsi="Arial" w:cs="Arial"/>
                <w:sz w:val="20"/>
                <w:szCs w:val="20"/>
              </w:rPr>
              <w:t>Common Rule and NPRM</w:t>
            </w:r>
          </w:p>
        </w:tc>
        <w:tc>
          <w:tcPr>
            <w:tcW w:w="2403" w:type="dxa"/>
            <w:vAlign w:val="center"/>
          </w:tcPr>
          <w:p w:rsidR="008F5816" w:rsidRPr="0012222B" w:rsidRDefault="008F5816" w:rsidP="00194129">
            <w:pPr>
              <w:rPr>
                <w:rFonts w:ascii="Arial" w:hAnsi="Arial" w:cs="Arial"/>
                <w:sz w:val="20"/>
                <w:szCs w:val="20"/>
              </w:rPr>
            </w:pPr>
            <w:r w:rsidRPr="0012222B">
              <w:rPr>
                <w:rFonts w:ascii="Arial" w:hAnsi="Arial" w:cs="Arial"/>
                <w:sz w:val="20"/>
                <w:szCs w:val="20"/>
              </w:rPr>
              <w:t>Michelle N. Meyer</w:t>
            </w:r>
          </w:p>
        </w:tc>
        <w:tc>
          <w:tcPr>
            <w:tcW w:w="2407" w:type="dxa"/>
            <w:vAlign w:val="center"/>
          </w:tcPr>
          <w:p w:rsidR="008F5816" w:rsidRPr="0012222B" w:rsidRDefault="007556AB" w:rsidP="00F91F79">
            <w:pPr>
              <w:rPr>
                <w:rFonts w:ascii="Arial" w:hAnsi="Arial" w:cs="Arial"/>
                <w:sz w:val="20"/>
                <w:szCs w:val="20"/>
              </w:rPr>
            </w:pPr>
            <w:r>
              <w:rPr>
                <w:rFonts w:ascii="Arial" w:hAnsi="Arial" w:cs="Arial"/>
                <w:sz w:val="20"/>
                <w:szCs w:val="20"/>
              </w:rPr>
              <w:t>Working Group/Author</w:t>
            </w:r>
          </w:p>
        </w:tc>
        <w:tc>
          <w:tcPr>
            <w:tcW w:w="2880" w:type="dxa"/>
            <w:tcBorders>
              <w:right w:val="single" w:sz="18" w:space="0" w:color="auto"/>
            </w:tcBorders>
            <w:vAlign w:val="center"/>
          </w:tcPr>
          <w:p w:rsidR="008F5816" w:rsidRPr="0012222B" w:rsidRDefault="008F5816" w:rsidP="007556AB">
            <w:pPr>
              <w:rPr>
                <w:rFonts w:ascii="Arial" w:hAnsi="Arial" w:cs="Arial"/>
                <w:sz w:val="20"/>
                <w:szCs w:val="20"/>
              </w:rPr>
            </w:pPr>
            <w:r w:rsidRPr="0012222B">
              <w:rPr>
                <w:rFonts w:ascii="Arial" w:hAnsi="Arial" w:cs="Arial"/>
                <w:sz w:val="20"/>
                <w:szCs w:val="20"/>
              </w:rPr>
              <w:t>Icahn Sch</w:t>
            </w:r>
            <w:r w:rsidR="007556AB">
              <w:rPr>
                <w:rFonts w:ascii="Arial" w:hAnsi="Arial" w:cs="Arial"/>
                <w:sz w:val="20"/>
                <w:szCs w:val="20"/>
              </w:rPr>
              <w:t>.</w:t>
            </w:r>
            <w:r w:rsidRPr="0012222B">
              <w:rPr>
                <w:rFonts w:ascii="Arial" w:hAnsi="Arial" w:cs="Arial"/>
                <w:sz w:val="20"/>
                <w:szCs w:val="20"/>
              </w:rPr>
              <w:t xml:space="preserve"> Med</w:t>
            </w:r>
            <w:r w:rsidR="007556AB">
              <w:rPr>
                <w:rFonts w:ascii="Arial" w:hAnsi="Arial" w:cs="Arial"/>
                <w:sz w:val="20"/>
                <w:szCs w:val="20"/>
              </w:rPr>
              <w:t>.</w:t>
            </w:r>
            <w:r w:rsidRPr="0012222B">
              <w:rPr>
                <w:rFonts w:ascii="Arial" w:hAnsi="Arial" w:cs="Arial"/>
                <w:sz w:val="20"/>
                <w:szCs w:val="20"/>
              </w:rPr>
              <w:t xml:space="preserve"> at Mt</w:t>
            </w:r>
            <w:r w:rsidR="007556AB">
              <w:rPr>
                <w:rFonts w:ascii="Arial" w:hAnsi="Arial" w:cs="Arial"/>
                <w:sz w:val="20"/>
                <w:szCs w:val="20"/>
              </w:rPr>
              <w:t>.</w:t>
            </w:r>
            <w:r w:rsidRPr="0012222B">
              <w:rPr>
                <w:rFonts w:ascii="Arial" w:hAnsi="Arial" w:cs="Arial"/>
                <w:sz w:val="20"/>
                <w:szCs w:val="20"/>
              </w:rPr>
              <w:t xml:space="preserve"> Sinai</w:t>
            </w:r>
          </w:p>
        </w:tc>
      </w:tr>
      <w:tr w:rsidR="007556AB" w:rsidRPr="0012222B" w:rsidTr="002B4166">
        <w:trPr>
          <w:cantSplit/>
          <w:trHeight w:val="288"/>
          <w:jc w:val="center"/>
        </w:trPr>
        <w:tc>
          <w:tcPr>
            <w:tcW w:w="2705" w:type="dxa"/>
            <w:tcBorders>
              <w:left w:val="single" w:sz="18" w:space="0" w:color="auto"/>
            </w:tcBorders>
            <w:vAlign w:val="center"/>
          </w:tcPr>
          <w:p w:rsidR="008F5816" w:rsidRPr="0012222B" w:rsidRDefault="008F5816" w:rsidP="006F2008">
            <w:pPr>
              <w:rPr>
                <w:rFonts w:ascii="Arial" w:hAnsi="Arial" w:cs="Arial"/>
                <w:sz w:val="20"/>
                <w:szCs w:val="20"/>
              </w:rPr>
            </w:pPr>
            <w:r w:rsidRPr="0012222B">
              <w:rPr>
                <w:rFonts w:ascii="Arial" w:hAnsi="Arial" w:cs="Arial"/>
                <w:sz w:val="20"/>
                <w:szCs w:val="20"/>
              </w:rPr>
              <w:t xml:space="preserve">HIPAA Privacy Rule  </w:t>
            </w:r>
          </w:p>
        </w:tc>
        <w:tc>
          <w:tcPr>
            <w:tcW w:w="2403" w:type="dxa"/>
            <w:vAlign w:val="center"/>
          </w:tcPr>
          <w:p w:rsidR="008F5816" w:rsidRPr="0012222B" w:rsidRDefault="008F5816" w:rsidP="006F2008">
            <w:pPr>
              <w:rPr>
                <w:rFonts w:ascii="Arial" w:hAnsi="Arial" w:cs="Arial"/>
                <w:sz w:val="20"/>
                <w:szCs w:val="20"/>
              </w:rPr>
            </w:pPr>
            <w:r w:rsidRPr="0012222B">
              <w:rPr>
                <w:rFonts w:ascii="Arial" w:hAnsi="Arial" w:cs="Arial"/>
                <w:sz w:val="20"/>
                <w:szCs w:val="20"/>
              </w:rPr>
              <w:t>Mark A. Rothstein</w:t>
            </w:r>
          </w:p>
        </w:tc>
        <w:tc>
          <w:tcPr>
            <w:tcW w:w="2407" w:type="dxa"/>
            <w:vAlign w:val="center"/>
          </w:tcPr>
          <w:p w:rsidR="008F5816" w:rsidRPr="0012222B" w:rsidRDefault="007556AB" w:rsidP="00F91F79">
            <w:pPr>
              <w:rPr>
                <w:rFonts w:ascii="Arial" w:hAnsi="Arial" w:cs="Arial"/>
                <w:sz w:val="20"/>
                <w:szCs w:val="20"/>
              </w:rPr>
            </w:pPr>
            <w:r>
              <w:rPr>
                <w:rFonts w:ascii="Arial" w:hAnsi="Arial" w:cs="Arial"/>
                <w:sz w:val="20"/>
                <w:szCs w:val="20"/>
              </w:rPr>
              <w:t>PD / PI</w:t>
            </w:r>
          </w:p>
        </w:tc>
        <w:tc>
          <w:tcPr>
            <w:tcW w:w="2880" w:type="dxa"/>
            <w:tcBorders>
              <w:right w:val="single" w:sz="18" w:space="0" w:color="auto"/>
            </w:tcBorders>
            <w:vAlign w:val="center"/>
          </w:tcPr>
          <w:p w:rsidR="008F5816" w:rsidRPr="0012222B" w:rsidRDefault="008F5816" w:rsidP="00994ED7">
            <w:pPr>
              <w:rPr>
                <w:rFonts w:ascii="Arial" w:hAnsi="Arial" w:cs="Arial"/>
                <w:sz w:val="20"/>
                <w:szCs w:val="20"/>
              </w:rPr>
            </w:pPr>
            <w:r w:rsidRPr="0012222B">
              <w:rPr>
                <w:rFonts w:ascii="Arial" w:hAnsi="Arial" w:cs="Arial"/>
                <w:sz w:val="20"/>
                <w:szCs w:val="20"/>
              </w:rPr>
              <w:t>University of Louisville</w:t>
            </w:r>
          </w:p>
        </w:tc>
      </w:tr>
      <w:tr w:rsidR="007556AB" w:rsidRPr="0012222B" w:rsidTr="002B4166">
        <w:trPr>
          <w:cantSplit/>
          <w:trHeight w:val="288"/>
          <w:jc w:val="center"/>
        </w:trPr>
        <w:tc>
          <w:tcPr>
            <w:tcW w:w="2705" w:type="dxa"/>
            <w:tcBorders>
              <w:left w:val="single" w:sz="18" w:space="0" w:color="auto"/>
            </w:tcBorders>
            <w:vAlign w:val="center"/>
          </w:tcPr>
          <w:p w:rsidR="008F5816" w:rsidRPr="0012222B" w:rsidRDefault="008F5816" w:rsidP="006F2008">
            <w:pPr>
              <w:rPr>
                <w:rFonts w:ascii="Arial" w:hAnsi="Arial" w:cs="Arial"/>
                <w:sz w:val="20"/>
                <w:szCs w:val="20"/>
              </w:rPr>
            </w:pPr>
            <w:r w:rsidRPr="0012222B">
              <w:rPr>
                <w:rFonts w:ascii="Arial" w:hAnsi="Arial" w:cs="Arial"/>
                <w:sz w:val="20"/>
                <w:szCs w:val="20"/>
              </w:rPr>
              <w:t>FDA regulation of research</w:t>
            </w:r>
          </w:p>
        </w:tc>
        <w:tc>
          <w:tcPr>
            <w:tcW w:w="2403" w:type="dxa"/>
            <w:vAlign w:val="center"/>
          </w:tcPr>
          <w:p w:rsidR="008F5816" w:rsidRPr="0012222B" w:rsidRDefault="008F5816" w:rsidP="006F2008">
            <w:pPr>
              <w:rPr>
                <w:rFonts w:ascii="Arial" w:hAnsi="Arial" w:cs="Arial"/>
                <w:sz w:val="20"/>
                <w:szCs w:val="20"/>
              </w:rPr>
            </w:pPr>
            <w:r w:rsidRPr="0012222B">
              <w:rPr>
                <w:rFonts w:ascii="Arial" w:hAnsi="Arial" w:cs="Arial"/>
                <w:sz w:val="20"/>
                <w:szCs w:val="20"/>
              </w:rPr>
              <w:t>Mary Majumder</w:t>
            </w:r>
          </w:p>
        </w:tc>
        <w:tc>
          <w:tcPr>
            <w:tcW w:w="2407" w:type="dxa"/>
            <w:vAlign w:val="center"/>
          </w:tcPr>
          <w:p w:rsidR="008F5816" w:rsidRPr="0012222B" w:rsidRDefault="007556AB" w:rsidP="00F91F79">
            <w:pPr>
              <w:rPr>
                <w:rFonts w:ascii="Arial" w:hAnsi="Arial" w:cs="Arial"/>
                <w:sz w:val="20"/>
                <w:szCs w:val="20"/>
              </w:rPr>
            </w:pPr>
            <w:r>
              <w:rPr>
                <w:rFonts w:ascii="Arial" w:hAnsi="Arial" w:cs="Arial"/>
                <w:sz w:val="20"/>
                <w:szCs w:val="20"/>
              </w:rPr>
              <w:t>Working Group/Author</w:t>
            </w:r>
          </w:p>
        </w:tc>
        <w:tc>
          <w:tcPr>
            <w:tcW w:w="2880" w:type="dxa"/>
            <w:tcBorders>
              <w:right w:val="single" w:sz="18" w:space="0" w:color="auto"/>
            </w:tcBorders>
            <w:vAlign w:val="center"/>
          </w:tcPr>
          <w:p w:rsidR="008F5816" w:rsidRPr="0012222B" w:rsidRDefault="008F5816" w:rsidP="00194129">
            <w:pPr>
              <w:rPr>
                <w:rFonts w:ascii="Arial" w:hAnsi="Arial" w:cs="Arial"/>
                <w:sz w:val="20"/>
                <w:szCs w:val="20"/>
              </w:rPr>
            </w:pPr>
            <w:r w:rsidRPr="0012222B">
              <w:rPr>
                <w:rFonts w:ascii="Arial" w:hAnsi="Arial" w:cs="Arial"/>
                <w:sz w:val="20"/>
                <w:szCs w:val="20"/>
              </w:rPr>
              <w:t>Baylor College of Medicine</w:t>
            </w:r>
          </w:p>
        </w:tc>
      </w:tr>
      <w:tr w:rsidR="007556AB" w:rsidRPr="0012222B" w:rsidTr="002B4166">
        <w:trPr>
          <w:cantSplit/>
          <w:trHeight w:val="288"/>
          <w:jc w:val="center"/>
        </w:trPr>
        <w:tc>
          <w:tcPr>
            <w:tcW w:w="2705" w:type="dxa"/>
            <w:tcBorders>
              <w:left w:val="single" w:sz="18" w:space="0" w:color="auto"/>
            </w:tcBorders>
            <w:vAlign w:val="center"/>
          </w:tcPr>
          <w:p w:rsidR="008F5816" w:rsidRPr="0012222B" w:rsidRDefault="008F5816" w:rsidP="007556AB">
            <w:pPr>
              <w:rPr>
                <w:rFonts w:ascii="Arial" w:hAnsi="Arial" w:cs="Arial"/>
                <w:sz w:val="20"/>
                <w:szCs w:val="20"/>
              </w:rPr>
            </w:pPr>
            <w:r w:rsidRPr="0012222B">
              <w:rPr>
                <w:rFonts w:ascii="Arial" w:hAnsi="Arial" w:cs="Arial"/>
                <w:sz w:val="20"/>
                <w:szCs w:val="20"/>
              </w:rPr>
              <w:t>FDA reg</w:t>
            </w:r>
            <w:r w:rsidR="007556AB">
              <w:rPr>
                <w:rFonts w:ascii="Arial" w:hAnsi="Arial" w:cs="Arial"/>
                <w:sz w:val="20"/>
                <w:szCs w:val="20"/>
              </w:rPr>
              <w:t>.</w:t>
            </w:r>
            <w:r w:rsidRPr="0012222B">
              <w:rPr>
                <w:rFonts w:ascii="Arial" w:hAnsi="Arial" w:cs="Arial"/>
                <w:sz w:val="20"/>
                <w:szCs w:val="20"/>
              </w:rPr>
              <w:t xml:space="preserve"> of medical apps</w:t>
            </w:r>
          </w:p>
        </w:tc>
        <w:tc>
          <w:tcPr>
            <w:tcW w:w="2403" w:type="dxa"/>
            <w:vAlign w:val="center"/>
          </w:tcPr>
          <w:p w:rsidR="008F5816" w:rsidRPr="0012222B" w:rsidRDefault="008F5816" w:rsidP="006F2008">
            <w:pPr>
              <w:rPr>
                <w:rFonts w:ascii="Arial" w:hAnsi="Arial" w:cs="Arial"/>
                <w:sz w:val="20"/>
                <w:szCs w:val="20"/>
              </w:rPr>
            </w:pPr>
            <w:r w:rsidRPr="0012222B">
              <w:rPr>
                <w:rFonts w:ascii="Arial" w:hAnsi="Arial" w:cs="Arial"/>
                <w:sz w:val="20"/>
                <w:szCs w:val="20"/>
              </w:rPr>
              <w:t>Barbara J. Evans</w:t>
            </w:r>
          </w:p>
        </w:tc>
        <w:tc>
          <w:tcPr>
            <w:tcW w:w="2407" w:type="dxa"/>
            <w:vAlign w:val="center"/>
          </w:tcPr>
          <w:p w:rsidR="008F5816" w:rsidRPr="0012222B" w:rsidRDefault="007556AB" w:rsidP="00F91F79">
            <w:pPr>
              <w:rPr>
                <w:rFonts w:ascii="Arial" w:hAnsi="Arial" w:cs="Arial"/>
                <w:sz w:val="20"/>
                <w:szCs w:val="20"/>
              </w:rPr>
            </w:pPr>
            <w:r>
              <w:rPr>
                <w:rFonts w:ascii="Arial" w:hAnsi="Arial" w:cs="Arial"/>
                <w:sz w:val="20"/>
                <w:szCs w:val="20"/>
              </w:rPr>
              <w:t>Working Group/Author</w:t>
            </w:r>
          </w:p>
        </w:tc>
        <w:tc>
          <w:tcPr>
            <w:tcW w:w="2880" w:type="dxa"/>
            <w:tcBorders>
              <w:right w:val="single" w:sz="18" w:space="0" w:color="auto"/>
            </w:tcBorders>
            <w:vAlign w:val="center"/>
          </w:tcPr>
          <w:p w:rsidR="008F5816" w:rsidRPr="0012222B" w:rsidRDefault="008F5816" w:rsidP="00994ED7">
            <w:pPr>
              <w:rPr>
                <w:rFonts w:ascii="Arial" w:hAnsi="Arial" w:cs="Arial"/>
                <w:sz w:val="20"/>
                <w:szCs w:val="20"/>
              </w:rPr>
            </w:pPr>
            <w:r w:rsidRPr="0012222B">
              <w:rPr>
                <w:rFonts w:ascii="Arial" w:hAnsi="Arial" w:cs="Arial"/>
                <w:sz w:val="20"/>
                <w:szCs w:val="20"/>
              </w:rPr>
              <w:t>University of Houston</w:t>
            </w:r>
          </w:p>
        </w:tc>
      </w:tr>
      <w:tr w:rsidR="007556AB" w:rsidRPr="0012222B" w:rsidTr="002B4166">
        <w:trPr>
          <w:cantSplit/>
          <w:trHeight w:val="288"/>
          <w:jc w:val="center"/>
        </w:trPr>
        <w:tc>
          <w:tcPr>
            <w:tcW w:w="2705" w:type="dxa"/>
            <w:tcBorders>
              <w:left w:val="single" w:sz="18" w:space="0" w:color="auto"/>
            </w:tcBorders>
            <w:vAlign w:val="center"/>
          </w:tcPr>
          <w:p w:rsidR="008F5816" w:rsidRPr="0012222B" w:rsidRDefault="008F5816" w:rsidP="00683035">
            <w:pPr>
              <w:rPr>
                <w:rFonts w:ascii="Arial" w:hAnsi="Arial" w:cs="Arial"/>
                <w:sz w:val="20"/>
                <w:szCs w:val="20"/>
              </w:rPr>
            </w:pPr>
            <w:r w:rsidRPr="0012222B">
              <w:rPr>
                <w:rFonts w:ascii="Arial" w:hAnsi="Arial" w:cs="Arial"/>
                <w:sz w:val="20"/>
                <w:szCs w:val="20"/>
              </w:rPr>
              <w:t>IRBs and</w:t>
            </w:r>
            <w:r w:rsidR="00683035">
              <w:rPr>
                <w:rFonts w:ascii="Arial" w:hAnsi="Arial" w:cs="Arial"/>
                <w:sz w:val="20"/>
                <w:szCs w:val="20"/>
              </w:rPr>
              <w:br/>
            </w:r>
            <w:r w:rsidRPr="0012222B">
              <w:rPr>
                <w:rFonts w:ascii="Arial" w:hAnsi="Arial" w:cs="Arial"/>
                <w:sz w:val="20"/>
                <w:szCs w:val="20"/>
              </w:rPr>
              <w:t>Unregulated Research</w:t>
            </w:r>
          </w:p>
        </w:tc>
        <w:tc>
          <w:tcPr>
            <w:tcW w:w="2403" w:type="dxa"/>
            <w:vAlign w:val="center"/>
          </w:tcPr>
          <w:p w:rsidR="008F5816" w:rsidRPr="0012222B" w:rsidRDefault="008F5816" w:rsidP="00194129">
            <w:pPr>
              <w:rPr>
                <w:rFonts w:ascii="Arial" w:hAnsi="Arial" w:cs="Arial"/>
                <w:sz w:val="20"/>
                <w:szCs w:val="20"/>
              </w:rPr>
            </w:pPr>
            <w:r w:rsidRPr="0012222B">
              <w:rPr>
                <w:rFonts w:ascii="Arial" w:hAnsi="Arial" w:cs="Arial"/>
                <w:sz w:val="20"/>
                <w:szCs w:val="20"/>
              </w:rPr>
              <w:t>Jeffrey R. Botkin</w:t>
            </w:r>
            <w:r w:rsidRPr="0012222B">
              <w:rPr>
                <w:rFonts w:ascii="Arial" w:hAnsi="Arial" w:cs="Arial"/>
                <w:sz w:val="20"/>
                <w:szCs w:val="20"/>
              </w:rPr>
              <w:br/>
              <w:t>Pearl O'Rourke</w:t>
            </w:r>
            <w:r w:rsidRPr="0012222B">
              <w:rPr>
                <w:rFonts w:ascii="Arial" w:hAnsi="Arial" w:cs="Arial"/>
                <w:sz w:val="20"/>
                <w:szCs w:val="20"/>
              </w:rPr>
              <w:br/>
              <w:t>David G. Forster</w:t>
            </w:r>
          </w:p>
        </w:tc>
        <w:tc>
          <w:tcPr>
            <w:tcW w:w="2407" w:type="dxa"/>
            <w:vAlign w:val="center"/>
          </w:tcPr>
          <w:p w:rsidR="008F5816" w:rsidRPr="0012222B" w:rsidRDefault="007556AB" w:rsidP="00F91F79">
            <w:pPr>
              <w:rPr>
                <w:rFonts w:ascii="Arial" w:hAnsi="Arial" w:cs="Arial"/>
                <w:sz w:val="20"/>
                <w:szCs w:val="20"/>
              </w:rPr>
            </w:pPr>
            <w:r>
              <w:rPr>
                <w:rFonts w:ascii="Arial" w:hAnsi="Arial" w:cs="Arial"/>
                <w:sz w:val="20"/>
                <w:szCs w:val="20"/>
              </w:rPr>
              <w:t>Working Group/Author</w:t>
            </w:r>
            <w:r>
              <w:rPr>
                <w:rFonts w:ascii="Arial" w:hAnsi="Arial" w:cs="Arial"/>
                <w:sz w:val="20"/>
                <w:szCs w:val="20"/>
              </w:rPr>
              <w:br/>
              <w:t>Working Group/Speaker</w:t>
            </w:r>
            <w:r>
              <w:rPr>
                <w:rFonts w:ascii="Arial" w:hAnsi="Arial" w:cs="Arial"/>
                <w:sz w:val="20"/>
                <w:szCs w:val="20"/>
              </w:rPr>
              <w:br/>
              <w:t xml:space="preserve">Guest </w:t>
            </w:r>
            <w:r w:rsidR="00232A1A">
              <w:rPr>
                <w:rFonts w:ascii="Arial" w:hAnsi="Arial" w:cs="Arial"/>
                <w:sz w:val="20"/>
                <w:szCs w:val="20"/>
              </w:rPr>
              <w:t>S</w:t>
            </w:r>
            <w:r>
              <w:rPr>
                <w:rFonts w:ascii="Arial" w:hAnsi="Arial" w:cs="Arial"/>
                <w:sz w:val="20"/>
                <w:szCs w:val="20"/>
              </w:rPr>
              <w:t>peaker</w:t>
            </w:r>
          </w:p>
        </w:tc>
        <w:tc>
          <w:tcPr>
            <w:tcW w:w="2880" w:type="dxa"/>
            <w:tcBorders>
              <w:right w:val="single" w:sz="18" w:space="0" w:color="auto"/>
            </w:tcBorders>
            <w:vAlign w:val="center"/>
          </w:tcPr>
          <w:p w:rsidR="008F5816" w:rsidRPr="0012222B" w:rsidRDefault="008F5816" w:rsidP="00994ED7">
            <w:pPr>
              <w:rPr>
                <w:rFonts w:ascii="Arial" w:hAnsi="Arial" w:cs="Arial"/>
                <w:sz w:val="20"/>
                <w:szCs w:val="20"/>
              </w:rPr>
            </w:pPr>
            <w:r w:rsidRPr="0012222B">
              <w:rPr>
                <w:rFonts w:ascii="Arial" w:hAnsi="Arial" w:cs="Arial"/>
                <w:sz w:val="20"/>
                <w:szCs w:val="20"/>
              </w:rPr>
              <w:t>University of Utah</w:t>
            </w:r>
            <w:r w:rsidRPr="0012222B">
              <w:rPr>
                <w:rFonts w:ascii="Arial" w:hAnsi="Arial" w:cs="Arial"/>
                <w:sz w:val="20"/>
                <w:szCs w:val="20"/>
              </w:rPr>
              <w:br/>
              <w:t>Partners Healthcare</w:t>
            </w:r>
            <w:r w:rsidRPr="0012222B">
              <w:rPr>
                <w:rFonts w:ascii="Arial" w:hAnsi="Arial" w:cs="Arial"/>
                <w:sz w:val="20"/>
                <w:szCs w:val="20"/>
              </w:rPr>
              <w:br/>
              <w:t>WIRB-Copernicus Group IRB</w:t>
            </w:r>
          </w:p>
        </w:tc>
      </w:tr>
      <w:tr w:rsidR="007556AB" w:rsidRPr="0012222B" w:rsidTr="002B4166">
        <w:trPr>
          <w:cantSplit/>
          <w:trHeight w:val="288"/>
          <w:jc w:val="center"/>
        </w:trPr>
        <w:tc>
          <w:tcPr>
            <w:tcW w:w="2705" w:type="dxa"/>
            <w:tcBorders>
              <w:left w:val="single" w:sz="18" w:space="0" w:color="auto"/>
            </w:tcBorders>
            <w:vAlign w:val="center"/>
          </w:tcPr>
          <w:p w:rsidR="008F5816" w:rsidRPr="0012222B" w:rsidRDefault="008F5816" w:rsidP="006F2008">
            <w:pPr>
              <w:rPr>
                <w:rFonts w:ascii="Arial" w:hAnsi="Arial" w:cs="Arial"/>
                <w:sz w:val="20"/>
                <w:szCs w:val="20"/>
              </w:rPr>
            </w:pPr>
            <w:r w:rsidRPr="0012222B">
              <w:rPr>
                <w:rFonts w:ascii="Arial" w:hAnsi="Arial" w:cs="Arial"/>
                <w:sz w:val="20"/>
                <w:szCs w:val="20"/>
              </w:rPr>
              <w:t>Privacy and confidentiality</w:t>
            </w:r>
          </w:p>
        </w:tc>
        <w:tc>
          <w:tcPr>
            <w:tcW w:w="2403" w:type="dxa"/>
            <w:vAlign w:val="center"/>
          </w:tcPr>
          <w:p w:rsidR="008F5816" w:rsidRPr="0012222B" w:rsidRDefault="008F5816" w:rsidP="00194129">
            <w:pPr>
              <w:rPr>
                <w:rFonts w:ascii="Arial" w:hAnsi="Arial" w:cs="Arial"/>
                <w:sz w:val="20"/>
                <w:szCs w:val="20"/>
              </w:rPr>
            </w:pPr>
            <w:r w:rsidRPr="0012222B">
              <w:rPr>
                <w:rFonts w:ascii="Arial" w:hAnsi="Arial" w:cs="Arial"/>
                <w:sz w:val="20"/>
                <w:szCs w:val="20"/>
              </w:rPr>
              <w:t>Amy L. McGuire</w:t>
            </w:r>
          </w:p>
        </w:tc>
        <w:tc>
          <w:tcPr>
            <w:tcW w:w="2407" w:type="dxa"/>
            <w:vAlign w:val="center"/>
          </w:tcPr>
          <w:p w:rsidR="008F5816" w:rsidRPr="0012222B" w:rsidRDefault="007556AB" w:rsidP="00F91F79">
            <w:pPr>
              <w:rPr>
                <w:rFonts w:ascii="Arial" w:hAnsi="Arial" w:cs="Arial"/>
                <w:sz w:val="20"/>
                <w:szCs w:val="20"/>
              </w:rPr>
            </w:pPr>
            <w:r>
              <w:rPr>
                <w:rFonts w:ascii="Arial" w:hAnsi="Arial" w:cs="Arial"/>
                <w:sz w:val="20"/>
                <w:szCs w:val="20"/>
              </w:rPr>
              <w:t>Working Group/Author</w:t>
            </w:r>
          </w:p>
        </w:tc>
        <w:tc>
          <w:tcPr>
            <w:tcW w:w="2880" w:type="dxa"/>
            <w:tcBorders>
              <w:right w:val="single" w:sz="18" w:space="0" w:color="auto"/>
            </w:tcBorders>
            <w:vAlign w:val="center"/>
          </w:tcPr>
          <w:p w:rsidR="008F5816" w:rsidRPr="0012222B" w:rsidRDefault="008F5816" w:rsidP="006F2008">
            <w:pPr>
              <w:rPr>
                <w:rFonts w:ascii="Arial" w:hAnsi="Arial" w:cs="Arial"/>
                <w:sz w:val="20"/>
                <w:szCs w:val="20"/>
              </w:rPr>
            </w:pPr>
            <w:r w:rsidRPr="0012222B">
              <w:rPr>
                <w:rFonts w:ascii="Arial" w:hAnsi="Arial" w:cs="Arial"/>
                <w:sz w:val="20"/>
                <w:szCs w:val="20"/>
              </w:rPr>
              <w:t>Baylor College of Medicine</w:t>
            </w:r>
          </w:p>
        </w:tc>
      </w:tr>
      <w:tr w:rsidR="007556AB" w:rsidRPr="0012222B" w:rsidTr="002B4166">
        <w:trPr>
          <w:cantSplit/>
          <w:trHeight w:val="288"/>
          <w:jc w:val="center"/>
        </w:trPr>
        <w:tc>
          <w:tcPr>
            <w:tcW w:w="2705" w:type="dxa"/>
            <w:tcBorders>
              <w:left w:val="single" w:sz="18" w:space="0" w:color="auto"/>
            </w:tcBorders>
            <w:vAlign w:val="center"/>
          </w:tcPr>
          <w:p w:rsidR="008F5816" w:rsidRPr="0012222B" w:rsidRDefault="008F5816" w:rsidP="006F2008">
            <w:pPr>
              <w:rPr>
                <w:rFonts w:ascii="Arial" w:hAnsi="Arial" w:cs="Arial"/>
                <w:sz w:val="20"/>
                <w:szCs w:val="20"/>
              </w:rPr>
            </w:pPr>
            <w:r w:rsidRPr="0012222B">
              <w:rPr>
                <w:rFonts w:ascii="Arial" w:hAnsi="Arial" w:cs="Arial"/>
                <w:sz w:val="20"/>
                <w:szCs w:val="20"/>
              </w:rPr>
              <w:t>Security</w:t>
            </w:r>
          </w:p>
        </w:tc>
        <w:tc>
          <w:tcPr>
            <w:tcW w:w="2403" w:type="dxa"/>
            <w:vAlign w:val="center"/>
          </w:tcPr>
          <w:p w:rsidR="008F5816" w:rsidRPr="0012222B" w:rsidRDefault="008F5816" w:rsidP="00194129">
            <w:pPr>
              <w:rPr>
                <w:rFonts w:ascii="Arial" w:hAnsi="Arial" w:cs="Arial"/>
                <w:sz w:val="20"/>
                <w:szCs w:val="20"/>
              </w:rPr>
            </w:pPr>
            <w:r w:rsidRPr="0012222B">
              <w:rPr>
                <w:rFonts w:ascii="Arial" w:hAnsi="Arial" w:cs="Arial"/>
                <w:sz w:val="20"/>
                <w:szCs w:val="20"/>
              </w:rPr>
              <w:t>Andrea M. Matwyshyn</w:t>
            </w:r>
          </w:p>
        </w:tc>
        <w:tc>
          <w:tcPr>
            <w:tcW w:w="2407" w:type="dxa"/>
            <w:vAlign w:val="center"/>
          </w:tcPr>
          <w:p w:rsidR="008F5816" w:rsidRPr="0012222B" w:rsidRDefault="007556AB" w:rsidP="00F91F79">
            <w:pPr>
              <w:rPr>
                <w:rFonts w:ascii="Arial" w:hAnsi="Arial" w:cs="Arial"/>
                <w:sz w:val="20"/>
                <w:szCs w:val="20"/>
              </w:rPr>
            </w:pPr>
            <w:r w:rsidRPr="007556AB">
              <w:rPr>
                <w:rFonts w:ascii="Arial" w:hAnsi="Arial" w:cs="Arial"/>
                <w:sz w:val="20"/>
                <w:szCs w:val="20"/>
              </w:rPr>
              <w:t>Working Group/Author</w:t>
            </w:r>
          </w:p>
        </w:tc>
        <w:tc>
          <w:tcPr>
            <w:tcW w:w="2880" w:type="dxa"/>
            <w:tcBorders>
              <w:right w:val="single" w:sz="18" w:space="0" w:color="auto"/>
            </w:tcBorders>
            <w:vAlign w:val="center"/>
          </w:tcPr>
          <w:p w:rsidR="008F5816" w:rsidRPr="0012222B" w:rsidRDefault="008F5816" w:rsidP="00683035">
            <w:pPr>
              <w:rPr>
                <w:rFonts w:ascii="Arial" w:hAnsi="Arial" w:cs="Arial"/>
                <w:sz w:val="20"/>
                <w:szCs w:val="20"/>
              </w:rPr>
            </w:pPr>
            <w:r w:rsidRPr="0012222B">
              <w:rPr>
                <w:rFonts w:ascii="Arial" w:hAnsi="Arial" w:cs="Arial"/>
                <w:sz w:val="20"/>
                <w:szCs w:val="20"/>
              </w:rPr>
              <w:t>Northeastern U</w:t>
            </w:r>
            <w:r w:rsidR="00683035">
              <w:rPr>
                <w:rFonts w:ascii="Arial" w:hAnsi="Arial" w:cs="Arial"/>
                <w:sz w:val="20"/>
                <w:szCs w:val="20"/>
              </w:rPr>
              <w:t>.</w:t>
            </w:r>
            <w:r w:rsidRPr="0012222B">
              <w:rPr>
                <w:rFonts w:ascii="Arial" w:hAnsi="Arial" w:cs="Arial"/>
                <w:sz w:val="20"/>
                <w:szCs w:val="20"/>
              </w:rPr>
              <w:t xml:space="preserve"> Sch</w:t>
            </w:r>
            <w:r w:rsidR="00683035">
              <w:rPr>
                <w:rFonts w:ascii="Arial" w:hAnsi="Arial" w:cs="Arial"/>
                <w:sz w:val="20"/>
                <w:szCs w:val="20"/>
              </w:rPr>
              <w:t>.</w:t>
            </w:r>
            <w:r w:rsidRPr="0012222B">
              <w:rPr>
                <w:rFonts w:ascii="Arial" w:hAnsi="Arial" w:cs="Arial"/>
                <w:sz w:val="20"/>
                <w:szCs w:val="20"/>
              </w:rPr>
              <w:t xml:space="preserve"> of Law</w:t>
            </w:r>
          </w:p>
        </w:tc>
      </w:tr>
      <w:tr w:rsidR="007556AB" w:rsidRPr="0012222B" w:rsidTr="002B4166">
        <w:trPr>
          <w:cantSplit/>
          <w:trHeight w:val="288"/>
          <w:jc w:val="center"/>
        </w:trPr>
        <w:tc>
          <w:tcPr>
            <w:tcW w:w="2705" w:type="dxa"/>
            <w:tcBorders>
              <w:left w:val="single" w:sz="18" w:space="0" w:color="auto"/>
            </w:tcBorders>
            <w:vAlign w:val="center"/>
          </w:tcPr>
          <w:p w:rsidR="008F5816" w:rsidRPr="0012222B" w:rsidRDefault="008F5816" w:rsidP="006F2008">
            <w:pPr>
              <w:rPr>
                <w:rFonts w:ascii="Arial" w:hAnsi="Arial" w:cs="Arial"/>
                <w:sz w:val="20"/>
                <w:szCs w:val="20"/>
              </w:rPr>
            </w:pPr>
            <w:r w:rsidRPr="0012222B">
              <w:rPr>
                <w:rFonts w:ascii="Arial" w:hAnsi="Arial" w:cs="Arial"/>
                <w:sz w:val="20"/>
                <w:szCs w:val="20"/>
              </w:rPr>
              <w:t>Data sharing</w:t>
            </w:r>
          </w:p>
        </w:tc>
        <w:tc>
          <w:tcPr>
            <w:tcW w:w="2403" w:type="dxa"/>
            <w:vAlign w:val="center"/>
          </w:tcPr>
          <w:p w:rsidR="008F5816" w:rsidRPr="0012222B" w:rsidRDefault="008F5816" w:rsidP="007556AB">
            <w:pPr>
              <w:rPr>
                <w:rFonts w:ascii="Arial" w:hAnsi="Arial" w:cs="Arial"/>
                <w:sz w:val="20"/>
                <w:szCs w:val="20"/>
              </w:rPr>
            </w:pPr>
            <w:r w:rsidRPr="0012222B">
              <w:rPr>
                <w:rFonts w:ascii="Arial" w:hAnsi="Arial" w:cs="Arial"/>
                <w:sz w:val="20"/>
                <w:szCs w:val="20"/>
              </w:rPr>
              <w:t>Heather L. Harrell</w:t>
            </w:r>
          </w:p>
        </w:tc>
        <w:tc>
          <w:tcPr>
            <w:tcW w:w="2407" w:type="dxa"/>
            <w:vAlign w:val="center"/>
          </w:tcPr>
          <w:p w:rsidR="008F5816" w:rsidRPr="0012222B" w:rsidRDefault="007556AB" w:rsidP="00F91F79">
            <w:pPr>
              <w:rPr>
                <w:rFonts w:ascii="Arial" w:hAnsi="Arial" w:cs="Arial"/>
                <w:sz w:val="20"/>
                <w:szCs w:val="20"/>
              </w:rPr>
            </w:pPr>
            <w:r>
              <w:rPr>
                <w:rFonts w:ascii="Arial" w:hAnsi="Arial" w:cs="Arial"/>
                <w:sz w:val="20"/>
                <w:szCs w:val="20"/>
              </w:rPr>
              <w:t>Co-Investigator</w:t>
            </w:r>
          </w:p>
        </w:tc>
        <w:tc>
          <w:tcPr>
            <w:tcW w:w="2880" w:type="dxa"/>
            <w:tcBorders>
              <w:right w:val="single" w:sz="18" w:space="0" w:color="auto"/>
            </w:tcBorders>
            <w:vAlign w:val="center"/>
          </w:tcPr>
          <w:p w:rsidR="008F5816" w:rsidRPr="0012222B" w:rsidRDefault="008F5816" w:rsidP="00994ED7">
            <w:pPr>
              <w:rPr>
                <w:rFonts w:ascii="Arial" w:hAnsi="Arial" w:cs="Arial"/>
                <w:sz w:val="20"/>
                <w:szCs w:val="20"/>
              </w:rPr>
            </w:pPr>
            <w:r w:rsidRPr="0012222B">
              <w:rPr>
                <w:rFonts w:ascii="Arial" w:hAnsi="Arial" w:cs="Arial"/>
                <w:sz w:val="20"/>
                <w:szCs w:val="20"/>
              </w:rPr>
              <w:t>University of Louisville</w:t>
            </w:r>
          </w:p>
        </w:tc>
      </w:tr>
      <w:tr w:rsidR="007556AB" w:rsidRPr="0012222B" w:rsidTr="002B4166">
        <w:trPr>
          <w:cantSplit/>
          <w:trHeight w:val="288"/>
          <w:jc w:val="center"/>
        </w:trPr>
        <w:tc>
          <w:tcPr>
            <w:tcW w:w="2705" w:type="dxa"/>
            <w:tcBorders>
              <w:left w:val="single" w:sz="18" w:space="0" w:color="auto"/>
              <w:bottom w:val="single" w:sz="18" w:space="0" w:color="auto"/>
            </w:tcBorders>
            <w:vAlign w:val="center"/>
          </w:tcPr>
          <w:p w:rsidR="008F5816" w:rsidRPr="0012222B" w:rsidRDefault="002B4166" w:rsidP="006F2008">
            <w:pPr>
              <w:rPr>
                <w:rFonts w:ascii="Arial" w:hAnsi="Arial" w:cs="Arial"/>
                <w:sz w:val="20"/>
                <w:szCs w:val="20"/>
              </w:rPr>
            </w:pPr>
            <w:r>
              <w:rPr>
                <w:rFonts w:ascii="Arial" w:hAnsi="Arial" w:cs="Arial"/>
                <w:sz w:val="20"/>
                <w:szCs w:val="20"/>
              </w:rPr>
              <w:t>T</w:t>
            </w:r>
            <w:r w:rsidR="008F5816" w:rsidRPr="0012222B">
              <w:rPr>
                <w:rFonts w:ascii="Arial" w:hAnsi="Arial" w:cs="Arial"/>
                <w:sz w:val="20"/>
                <w:szCs w:val="20"/>
              </w:rPr>
              <w:t>hought-leader interviews</w:t>
            </w:r>
          </w:p>
        </w:tc>
        <w:tc>
          <w:tcPr>
            <w:tcW w:w="2403" w:type="dxa"/>
            <w:tcBorders>
              <w:bottom w:val="single" w:sz="18" w:space="0" w:color="auto"/>
            </w:tcBorders>
            <w:vAlign w:val="center"/>
          </w:tcPr>
          <w:p w:rsidR="008F5816" w:rsidRPr="0012222B" w:rsidRDefault="007556AB" w:rsidP="007556AB">
            <w:pPr>
              <w:rPr>
                <w:rFonts w:ascii="Arial" w:hAnsi="Arial" w:cs="Arial"/>
                <w:sz w:val="20"/>
                <w:szCs w:val="20"/>
              </w:rPr>
            </w:pPr>
            <w:r>
              <w:rPr>
                <w:rFonts w:ascii="Arial" w:hAnsi="Arial" w:cs="Arial"/>
                <w:sz w:val="20"/>
                <w:szCs w:val="20"/>
              </w:rPr>
              <w:t>Laura Beskow</w:t>
            </w:r>
          </w:p>
        </w:tc>
        <w:tc>
          <w:tcPr>
            <w:tcW w:w="2407" w:type="dxa"/>
            <w:tcBorders>
              <w:bottom w:val="single" w:sz="18" w:space="0" w:color="auto"/>
            </w:tcBorders>
            <w:vAlign w:val="center"/>
          </w:tcPr>
          <w:p w:rsidR="008F5816" w:rsidRPr="0012222B" w:rsidRDefault="007556AB" w:rsidP="00F91F79">
            <w:pPr>
              <w:rPr>
                <w:rFonts w:ascii="Arial" w:hAnsi="Arial" w:cs="Arial"/>
                <w:sz w:val="20"/>
                <w:szCs w:val="20"/>
              </w:rPr>
            </w:pPr>
            <w:r>
              <w:rPr>
                <w:rFonts w:ascii="Arial" w:hAnsi="Arial" w:cs="Arial"/>
                <w:sz w:val="20"/>
                <w:szCs w:val="20"/>
              </w:rPr>
              <w:t>Co-Investigator</w:t>
            </w:r>
          </w:p>
        </w:tc>
        <w:tc>
          <w:tcPr>
            <w:tcW w:w="2880" w:type="dxa"/>
            <w:tcBorders>
              <w:bottom w:val="single" w:sz="18" w:space="0" w:color="auto"/>
              <w:right w:val="single" w:sz="18" w:space="0" w:color="auto"/>
            </w:tcBorders>
            <w:vAlign w:val="center"/>
          </w:tcPr>
          <w:p w:rsidR="008F5816" w:rsidRPr="0012222B" w:rsidRDefault="008F5816" w:rsidP="00994ED7">
            <w:pPr>
              <w:rPr>
                <w:rFonts w:ascii="Arial" w:hAnsi="Arial" w:cs="Arial"/>
                <w:sz w:val="20"/>
                <w:szCs w:val="20"/>
              </w:rPr>
            </w:pPr>
            <w:r w:rsidRPr="0012222B">
              <w:rPr>
                <w:rFonts w:ascii="Arial" w:hAnsi="Arial" w:cs="Arial"/>
                <w:sz w:val="20"/>
                <w:szCs w:val="20"/>
              </w:rPr>
              <w:t>Duke University</w:t>
            </w:r>
          </w:p>
        </w:tc>
      </w:tr>
    </w:tbl>
    <w:p w:rsidR="0079006A" w:rsidRDefault="0079006A" w:rsidP="0079006A">
      <w:pPr>
        <w:spacing w:before="120" w:after="120"/>
        <w:jc w:val="both"/>
        <w:rPr>
          <w:rFonts w:ascii="Arial" w:hAnsi="Arial"/>
          <w:b/>
          <w:sz w:val="22"/>
        </w:rPr>
      </w:pPr>
    </w:p>
    <w:p w:rsidR="00302845" w:rsidRDefault="007054A3" w:rsidP="0079006A">
      <w:pPr>
        <w:spacing w:before="120" w:after="120"/>
        <w:jc w:val="both"/>
        <w:rPr>
          <w:rFonts w:ascii="Arial" w:hAnsi="Arial"/>
          <w:sz w:val="22"/>
        </w:rPr>
      </w:pPr>
      <w:r>
        <w:rPr>
          <w:rFonts w:ascii="Arial" w:hAnsi="Arial"/>
          <w:b/>
          <w:sz w:val="22"/>
        </w:rPr>
        <w:t>Stage 3:</w:t>
      </w:r>
      <w:r w:rsidR="00076DE6">
        <w:rPr>
          <w:rFonts w:ascii="Arial" w:hAnsi="Arial"/>
          <w:sz w:val="22"/>
        </w:rPr>
        <w:t xml:space="preserve"> </w:t>
      </w:r>
      <w:r>
        <w:rPr>
          <w:rFonts w:ascii="Arial" w:hAnsi="Arial"/>
          <w:sz w:val="22"/>
        </w:rPr>
        <w:t xml:space="preserve">Working Group </w:t>
      </w:r>
      <w:r w:rsidR="00076DE6">
        <w:rPr>
          <w:rFonts w:ascii="Arial" w:hAnsi="Arial"/>
          <w:sz w:val="22"/>
        </w:rPr>
        <w:t xml:space="preserve">Meeting #3, lasting one day, </w:t>
      </w:r>
      <w:r>
        <w:rPr>
          <w:rFonts w:ascii="Arial" w:hAnsi="Arial"/>
          <w:sz w:val="22"/>
        </w:rPr>
        <w:t xml:space="preserve">will </w:t>
      </w:r>
      <w:r w:rsidR="00045EE7">
        <w:rPr>
          <w:rFonts w:ascii="Arial" w:hAnsi="Arial"/>
          <w:sz w:val="22"/>
        </w:rPr>
        <w:t xml:space="preserve">build on the general principles elucidated at the prior meeting and consider </w:t>
      </w:r>
      <w:r w:rsidR="007277E9">
        <w:rPr>
          <w:rFonts w:ascii="Arial" w:hAnsi="Arial"/>
          <w:sz w:val="22"/>
        </w:rPr>
        <w:t>additional</w:t>
      </w:r>
      <w:r w:rsidR="00045EE7">
        <w:rPr>
          <w:rFonts w:ascii="Arial" w:hAnsi="Arial"/>
          <w:sz w:val="22"/>
        </w:rPr>
        <w:t xml:space="preserve"> recommendations for </w:t>
      </w:r>
      <w:r>
        <w:rPr>
          <w:rFonts w:ascii="Arial" w:hAnsi="Arial"/>
          <w:sz w:val="22"/>
        </w:rPr>
        <w:t xml:space="preserve">unregulated </w:t>
      </w:r>
      <w:r w:rsidR="006F5C14">
        <w:rPr>
          <w:rFonts w:ascii="Arial" w:hAnsi="Arial"/>
          <w:sz w:val="22"/>
        </w:rPr>
        <w:t>mH</w:t>
      </w:r>
      <w:r w:rsidR="004C5CCD">
        <w:rPr>
          <w:rFonts w:ascii="Arial" w:hAnsi="Arial"/>
          <w:sz w:val="22"/>
        </w:rPr>
        <w:t xml:space="preserve">ealth </w:t>
      </w:r>
      <w:r>
        <w:rPr>
          <w:rFonts w:ascii="Arial" w:hAnsi="Arial"/>
          <w:sz w:val="22"/>
        </w:rPr>
        <w:t>research</w:t>
      </w:r>
      <w:r w:rsidR="004C5CCD">
        <w:rPr>
          <w:rFonts w:ascii="Arial" w:hAnsi="Arial"/>
          <w:sz w:val="22"/>
        </w:rPr>
        <w:t xml:space="preserve">. </w:t>
      </w:r>
      <w:r w:rsidR="006F5C14">
        <w:rPr>
          <w:rFonts w:ascii="Arial" w:hAnsi="Arial"/>
          <w:sz w:val="22"/>
        </w:rPr>
        <w:t>Is</w:t>
      </w:r>
      <w:r w:rsidR="00045EE7">
        <w:rPr>
          <w:rFonts w:ascii="Arial" w:hAnsi="Arial"/>
          <w:sz w:val="22"/>
        </w:rPr>
        <w:t xml:space="preserve">sues to be presented and discussed include: (1) governance and oversight models, including guidelines of research consortia; (2) models of </w:t>
      </w:r>
      <w:r w:rsidR="006F5C14">
        <w:rPr>
          <w:rFonts w:ascii="Arial" w:hAnsi="Arial"/>
          <w:sz w:val="22"/>
        </w:rPr>
        <w:t xml:space="preserve">online consent; (3) </w:t>
      </w:r>
      <w:r w:rsidR="00045EE7">
        <w:rPr>
          <w:rFonts w:ascii="Arial" w:hAnsi="Arial"/>
          <w:sz w:val="22"/>
        </w:rPr>
        <w:t>divers</w:t>
      </w:r>
      <w:r w:rsidR="006F5C14">
        <w:rPr>
          <w:rFonts w:ascii="Arial" w:hAnsi="Arial"/>
          <w:sz w:val="22"/>
        </w:rPr>
        <w:t>ity of</w:t>
      </w:r>
      <w:r w:rsidR="00045EE7">
        <w:rPr>
          <w:rFonts w:ascii="Arial" w:hAnsi="Arial"/>
          <w:sz w:val="22"/>
        </w:rPr>
        <w:t xml:space="preserve"> </w:t>
      </w:r>
      <w:r w:rsidR="00563547">
        <w:rPr>
          <w:rFonts w:ascii="Arial" w:hAnsi="Arial"/>
          <w:sz w:val="22"/>
        </w:rPr>
        <w:t xml:space="preserve">research </w:t>
      </w:r>
      <w:r w:rsidR="00045EE7">
        <w:rPr>
          <w:rFonts w:ascii="Arial" w:hAnsi="Arial"/>
          <w:sz w:val="22"/>
        </w:rPr>
        <w:t>participant</w:t>
      </w:r>
      <w:r w:rsidR="006F5C14">
        <w:rPr>
          <w:rFonts w:ascii="Arial" w:hAnsi="Arial"/>
          <w:sz w:val="22"/>
        </w:rPr>
        <w:t>s</w:t>
      </w:r>
      <w:r w:rsidR="00045EE7">
        <w:rPr>
          <w:rFonts w:ascii="Arial" w:hAnsi="Arial"/>
          <w:sz w:val="22"/>
        </w:rPr>
        <w:t xml:space="preserve"> and special challenges of vulnerable individuals; </w:t>
      </w:r>
      <w:r w:rsidR="006F5C14">
        <w:rPr>
          <w:rFonts w:ascii="Arial" w:hAnsi="Arial"/>
          <w:sz w:val="22"/>
        </w:rPr>
        <w:t xml:space="preserve">and </w:t>
      </w:r>
      <w:r w:rsidR="00045EE7">
        <w:rPr>
          <w:rFonts w:ascii="Arial" w:hAnsi="Arial"/>
          <w:sz w:val="22"/>
        </w:rPr>
        <w:t xml:space="preserve">(4) policies for return of results and incidental findings. </w:t>
      </w:r>
      <w:r w:rsidR="00712EA4">
        <w:rPr>
          <w:rFonts w:ascii="Arial" w:hAnsi="Arial"/>
          <w:sz w:val="22"/>
        </w:rPr>
        <w:t xml:space="preserve">A summary </w:t>
      </w:r>
      <w:r w:rsidR="00FE70E1">
        <w:rPr>
          <w:rFonts w:ascii="Arial" w:hAnsi="Arial"/>
          <w:sz w:val="22"/>
        </w:rPr>
        <w:t xml:space="preserve">of the topics and speakers </w:t>
      </w:r>
      <w:r w:rsidR="00712EA4">
        <w:rPr>
          <w:rFonts w:ascii="Arial" w:hAnsi="Arial"/>
          <w:sz w:val="22"/>
        </w:rPr>
        <w:t>follows</w:t>
      </w:r>
      <w:r w:rsidR="00FE70E1">
        <w:rPr>
          <w:rFonts w:ascii="Arial" w:hAnsi="Arial"/>
          <w:sz w:val="22"/>
        </w:rPr>
        <w:t xml:space="preserve"> (see the Appendix for a detailed schedule)</w:t>
      </w:r>
      <w:r w:rsidR="00712EA4">
        <w:rPr>
          <w:rFonts w:ascii="Arial" w:hAnsi="Arial"/>
          <w:sz w:val="22"/>
        </w:rPr>
        <w:t>.</w:t>
      </w:r>
    </w:p>
    <w:p w:rsidR="0079006A" w:rsidRDefault="0079006A">
      <w:pPr>
        <w:rPr>
          <w:rFonts w:ascii="Arial" w:hAnsi="Arial"/>
          <w:sz w:val="22"/>
        </w:rPr>
      </w:pPr>
    </w:p>
    <w:p w:rsidR="0079006A" w:rsidRDefault="0079006A" w:rsidP="0079006A">
      <w:pPr>
        <w:spacing w:before="120" w:after="120"/>
        <w:jc w:val="both"/>
        <w:rPr>
          <w:rFonts w:ascii="Arial" w:hAnsi="Arial"/>
          <w:sz w:val="22"/>
        </w:rPr>
      </w:pPr>
    </w:p>
    <w:tbl>
      <w:tblPr>
        <w:tblStyle w:val="TableGrid"/>
        <w:tblW w:w="0" w:type="auto"/>
        <w:jc w:val="center"/>
        <w:tblCellMar>
          <w:left w:w="115" w:type="dxa"/>
          <w:right w:w="115" w:type="dxa"/>
        </w:tblCellMar>
        <w:tblLook w:val="04A0" w:firstRow="1" w:lastRow="0" w:firstColumn="1" w:lastColumn="0" w:noHBand="0" w:noVBand="1"/>
      </w:tblPr>
      <w:tblGrid>
        <w:gridCol w:w="2909"/>
        <w:gridCol w:w="2345"/>
        <w:gridCol w:w="2306"/>
        <w:gridCol w:w="2768"/>
      </w:tblGrid>
      <w:tr w:rsidR="00BB58A6" w:rsidRPr="00BB58A6" w:rsidTr="006846CE">
        <w:trPr>
          <w:cantSplit/>
          <w:trHeight w:val="315"/>
          <w:jc w:val="center"/>
        </w:trPr>
        <w:tc>
          <w:tcPr>
            <w:tcW w:w="10328" w:type="dxa"/>
            <w:gridSpan w:val="4"/>
            <w:tcBorders>
              <w:top w:val="single" w:sz="18" w:space="0" w:color="auto"/>
              <w:left w:val="single" w:sz="18" w:space="0" w:color="auto"/>
              <w:bottom w:val="nil"/>
              <w:right w:val="single" w:sz="18" w:space="0" w:color="auto"/>
            </w:tcBorders>
            <w:vAlign w:val="center"/>
          </w:tcPr>
          <w:p w:rsidR="00BB58A6" w:rsidRPr="00BB58A6" w:rsidRDefault="00BB58A6" w:rsidP="006846CE">
            <w:pPr>
              <w:jc w:val="center"/>
              <w:rPr>
                <w:rFonts w:ascii="Arial" w:hAnsi="Arial" w:cs="Arial"/>
                <w:sz w:val="20"/>
                <w:szCs w:val="20"/>
              </w:rPr>
            </w:pPr>
            <w:r w:rsidRPr="00BB58A6">
              <w:rPr>
                <w:rFonts w:ascii="Arial" w:hAnsi="Arial" w:cs="Arial"/>
                <w:b/>
                <w:sz w:val="20"/>
                <w:szCs w:val="20"/>
              </w:rPr>
              <w:lastRenderedPageBreak/>
              <w:t>Working Group Meeting #3 -</w:t>
            </w:r>
            <w:r w:rsidR="006846CE">
              <w:rPr>
                <w:rFonts w:ascii="Arial" w:hAnsi="Arial" w:cs="Arial"/>
                <w:b/>
                <w:sz w:val="20"/>
                <w:szCs w:val="20"/>
              </w:rPr>
              <w:t>- Developing Ethical Guidelines</w:t>
            </w:r>
          </w:p>
        </w:tc>
      </w:tr>
      <w:tr w:rsidR="00BB58A6" w:rsidRPr="00BB58A6" w:rsidTr="007C3335">
        <w:trPr>
          <w:cantSplit/>
          <w:trHeight w:val="268"/>
          <w:jc w:val="center"/>
        </w:trPr>
        <w:tc>
          <w:tcPr>
            <w:tcW w:w="10328" w:type="dxa"/>
            <w:gridSpan w:val="4"/>
            <w:tcBorders>
              <w:top w:val="nil"/>
              <w:left w:val="single" w:sz="18" w:space="0" w:color="auto"/>
              <w:bottom w:val="nil"/>
              <w:right w:val="single" w:sz="18" w:space="0" w:color="auto"/>
            </w:tcBorders>
          </w:tcPr>
          <w:p w:rsidR="00BB58A6" w:rsidRPr="00BB58A6" w:rsidRDefault="00BB58A6" w:rsidP="00343B51">
            <w:pPr>
              <w:jc w:val="center"/>
              <w:rPr>
                <w:rFonts w:ascii="Arial" w:hAnsi="Arial" w:cs="Arial"/>
                <w:sz w:val="20"/>
                <w:szCs w:val="20"/>
              </w:rPr>
            </w:pPr>
            <w:r w:rsidRPr="00BB58A6">
              <w:rPr>
                <w:rFonts w:ascii="Arial" w:hAnsi="Arial" w:cs="Arial"/>
                <w:sz w:val="20"/>
                <w:szCs w:val="20"/>
              </w:rPr>
              <w:t>Atlanta: October 2018</w:t>
            </w:r>
          </w:p>
        </w:tc>
      </w:tr>
      <w:tr w:rsidR="008F5816" w:rsidRPr="00BB58A6" w:rsidTr="00F91F79">
        <w:trPr>
          <w:cantSplit/>
          <w:trHeight w:val="149"/>
          <w:jc w:val="center"/>
        </w:trPr>
        <w:tc>
          <w:tcPr>
            <w:tcW w:w="2909" w:type="dxa"/>
            <w:tcBorders>
              <w:left w:val="single" w:sz="18" w:space="0" w:color="auto"/>
            </w:tcBorders>
          </w:tcPr>
          <w:p w:rsidR="008F5816" w:rsidRPr="00BB58A6" w:rsidRDefault="008F5816" w:rsidP="006F2008">
            <w:pPr>
              <w:jc w:val="center"/>
              <w:rPr>
                <w:rFonts w:ascii="Arial" w:hAnsi="Arial" w:cs="Arial"/>
                <w:b/>
                <w:sz w:val="20"/>
                <w:szCs w:val="20"/>
              </w:rPr>
            </w:pPr>
            <w:r w:rsidRPr="00BB58A6">
              <w:rPr>
                <w:rFonts w:ascii="Arial" w:hAnsi="Arial" w:cs="Arial"/>
                <w:b/>
                <w:sz w:val="20"/>
                <w:szCs w:val="20"/>
              </w:rPr>
              <w:t>Topic</w:t>
            </w:r>
          </w:p>
        </w:tc>
        <w:tc>
          <w:tcPr>
            <w:tcW w:w="2345" w:type="dxa"/>
          </w:tcPr>
          <w:p w:rsidR="008F5816" w:rsidRPr="00BB58A6" w:rsidRDefault="008F5816" w:rsidP="006F2008">
            <w:pPr>
              <w:jc w:val="center"/>
              <w:rPr>
                <w:rFonts w:ascii="Arial" w:hAnsi="Arial" w:cs="Arial"/>
                <w:b/>
                <w:sz w:val="20"/>
                <w:szCs w:val="20"/>
              </w:rPr>
            </w:pPr>
            <w:r w:rsidRPr="00BB58A6">
              <w:rPr>
                <w:rFonts w:ascii="Arial" w:hAnsi="Arial" w:cs="Arial"/>
                <w:b/>
                <w:sz w:val="20"/>
                <w:szCs w:val="20"/>
              </w:rPr>
              <w:t>Speaker</w:t>
            </w:r>
          </w:p>
        </w:tc>
        <w:tc>
          <w:tcPr>
            <w:tcW w:w="2306" w:type="dxa"/>
          </w:tcPr>
          <w:p w:rsidR="008F5816" w:rsidRPr="00BB58A6" w:rsidRDefault="008F5816" w:rsidP="006F2008">
            <w:pPr>
              <w:jc w:val="center"/>
              <w:rPr>
                <w:rFonts w:ascii="Arial" w:hAnsi="Arial" w:cs="Arial"/>
                <w:b/>
                <w:sz w:val="20"/>
                <w:szCs w:val="20"/>
              </w:rPr>
            </w:pPr>
            <w:r w:rsidRPr="00BB58A6">
              <w:rPr>
                <w:rFonts w:ascii="Arial" w:hAnsi="Arial" w:cs="Arial"/>
                <w:b/>
                <w:sz w:val="20"/>
                <w:szCs w:val="20"/>
              </w:rPr>
              <w:t>Project Role</w:t>
            </w:r>
          </w:p>
        </w:tc>
        <w:tc>
          <w:tcPr>
            <w:tcW w:w="2768" w:type="dxa"/>
            <w:tcBorders>
              <w:right w:val="single" w:sz="18" w:space="0" w:color="auto"/>
            </w:tcBorders>
          </w:tcPr>
          <w:p w:rsidR="008F5816" w:rsidRPr="00BB58A6" w:rsidRDefault="008F5816" w:rsidP="006F2008">
            <w:pPr>
              <w:jc w:val="center"/>
              <w:rPr>
                <w:rFonts w:ascii="Arial" w:hAnsi="Arial" w:cs="Arial"/>
                <w:b/>
                <w:sz w:val="20"/>
                <w:szCs w:val="20"/>
              </w:rPr>
            </w:pPr>
            <w:r w:rsidRPr="00BB58A6">
              <w:rPr>
                <w:rFonts w:ascii="Arial" w:hAnsi="Arial" w:cs="Arial"/>
                <w:b/>
                <w:sz w:val="20"/>
                <w:szCs w:val="20"/>
              </w:rPr>
              <w:t>Affiliation</w:t>
            </w:r>
          </w:p>
        </w:tc>
      </w:tr>
      <w:tr w:rsidR="008F5816" w:rsidRPr="00BB58A6" w:rsidTr="00F91F79">
        <w:trPr>
          <w:cantSplit/>
          <w:trHeight w:val="149"/>
          <w:jc w:val="center"/>
        </w:trPr>
        <w:tc>
          <w:tcPr>
            <w:tcW w:w="2909" w:type="dxa"/>
            <w:tcBorders>
              <w:left w:val="single" w:sz="18" w:space="0" w:color="auto"/>
            </w:tcBorders>
            <w:vAlign w:val="center"/>
          </w:tcPr>
          <w:p w:rsidR="008F5816" w:rsidRPr="00BB58A6" w:rsidRDefault="008F5816" w:rsidP="006F2008">
            <w:pPr>
              <w:rPr>
                <w:rFonts w:ascii="Arial" w:hAnsi="Arial" w:cs="Arial"/>
                <w:sz w:val="20"/>
                <w:szCs w:val="20"/>
              </w:rPr>
            </w:pPr>
            <w:r w:rsidRPr="00BB58A6">
              <w:rPr>
                <w:rFonts w:ascii="Arial" w:hAnsi="Arial" w:cs="Arial"/>
                <w:sz w:val="20"/>
                <w:szCs w:val="20"/>
              </w:rPr>
              <w:t>Governance and oversight</w:t>
            </w:r>
          </w:p>
        </w:tc>
        <w:tc>
          <w:tcPr>
            <w:tcW w:w="2345" w:type="dxa"/>
          </w:tcPr>
          <w:p w:rsidR="008F5816" w:rsidRPr="00BB58A6" w:rsidRDefault="008F5816" w:rsidP="00683035">
            <w:pPr>
              <w:rPr>
                <w:rFonts w:ascii="Arial" w:hAnsi="Arial" w:cs="Arial"/>
                <w:sz w:val="20"/>
                <w:szCs w:val="20"/>
              </w:rPr>
            </w:pPr>
            <w:r w:rsidRPr="00BB58A6">
              <w:rPr>
                <w:rFonts w:ascii="Arial" w:hAnsi="Arial" w:cs="Arial"/>
                <w:sz w:val="20"/>
                <w:szCs w:val="20"/>
              </w:rPr>
              <w:t xml:space="preserve">Megan Doerr </w:t>
            </w:r>
            <w:r w:rsidRPr="00BB58A6">
              <w:rPr>
                <w:rFonts w:ascii="Arial" w:hAnsi="Arial" w:cs="Arial"/>
                <w:sz w:val="20"/>
                <w:szCs w:val="20"/>
              </w:rPr>
              <w:br/>
              <w:t>Aaron J. Goldenberg</w:t>
            </w:r>
            <w:r w:rsidRPr="00BB58A6">
              <w:rPr>
                <w:rFonts w:ascii="Arial" w:hAnsi="Arial" w:cs="Arial"/>
                <w:sz w:val="20"/>
                <w:szCs w:val="20"/>
              </w:rPr>
              <w:br/>
              <w:t>Bartha Maria Knoppers</w:t>
            </w:r>
          </w:p>
        </w:tc>
        <w:tc>
          <w:tcPr>
            <w:tcW w:w="2306" w:type="dxa"/>
            <w:vAlign w:val="center"/>
          </w:tcPr>
          <w:p w:rsidR="008F5816" w:rsidRPr="00BB58A6" w:rsidRDefault="007556AB" w:rsidP="00F91F79">
            <w:pPr>
              <w:rPr>
                <w:rFonts w:ascii="Arial" w:hAnsi="Arial" w:cs="Arial"/>
                <w:sz w:val="20"/>
                <w:szCs w:val="20"/>
              </w:rPr>
            </w:pPr>
            <w:r w:rsidRPr="00BB58A6">
              <w:rPr>
                <w:rFonts w:ascii="Arial" w:hAnsi="Arial" w:cs="Arial"/>
                <w:sz w:val="20"/>
                <w:szCs w:val="20"/>
              </w:rPr>
              <w:t>Co-I</w:t>
            </w:r>
            <w:r>
              <w:rPr>
                <w:rFonts w:ascii="Arial" w:hAnsi="Arial" w:cs="Arial"/>
                <w:sz w:val="20"/>
                <w:szCs w:val="20"/>
              </w:rPr>
              <w:t>nvestigator</w:t>
            </w:r>
            <w:r>
              <w:rPr>
                <w:rFonts w:ascii="Arial" w:hAnsi="Arial" w:cs="Arial"/>
                <w:sz w:val="20"/>
                <w:szCs w:val="20"/>
              </w:rPr>
              <w:br/>
            </w:r>
            <w:r w:rsidR="00683035">
              <w:rPr>
                <w:rFonts w:ascii="Arial" w:hAnsi="Arial" w:cs="Arial"/>
                <w:sz w:val="20"/>
                <w:szCs w:val="20"/>
              </w:rPr>
              <w:t>Working Group/Author</w:t>
            </w:r>
            <w:r w:rsidR="00683035">
              <w:rPr>
                <w:rFonts w:ascii="Arial" w:hAnsi="Arial" w:cs="Arial"/>
                <w:sz w:val="20"/>
                <w:szCs w:val="20"/>
              </w:rPr>
              <w:br/>
              <w:t>Working Group/Author</w:t>
            </w:r>
          </w:p>
        </w:tc>
        <w:tc>
          <w:tcPr>
            <w:tcW w:w="2768" w:type="dxa"/>
            <w:tcBorders>
              <w:right w:val="single" w:sz="18" w:space="0" w:color="auto"/>
            </w:tcBorders>
            <w:vAlign w:val="center"/>
          </w:tcPr>
          <w:p w:rsidR="008F5816" w:rsidRPr="00BB58A6" w:rsidRDefault="008F5816" w:rsidP="00423BA8">
            <w:pPr>
              <w:rPr>
                <w:rFonts w:ascii="Arial" w:hAnsi="Arial" w:cs="Arial"/>
                <w:sz w:val="20"/>
                <w:szCs w:val="20"/>
              </w:rPr>
            </w:pPr>
            <w:r w:rsidRPr="00BB58A6">
              <w:rPr>
                <w:rFonts w:ascii="Arial" w:hAnsi="Arial" w:cs="Arial"/>
                <w:sz w:val="20"/>
                <w:szCs w:val="20"/>
              </w:rPr>
              <w:t>Sage Bionetworks</w:t>
            </w:r>
            <w:r w:rsidR="007C3335">
              <w:rPr>
                <w:rFonts w:ascii="Arial" w:hAnsi="Arial" w:cs="Arial"/>
                <w:sz w:val="20"/>
                <w:szCs w:val="20"/>
              </w:rPr>
              <w:br/>
            </w:r>
            <w:r w:rsidRPr="00BB58A6">
              <w:rPr>
                <w:rFonts w:ascii="Arial" w:hAnsi="Arial" w:cs="Arial"/>
                <w:sz w:val="20"/>
                <w:szCs w:val="20"/>
              </w:rPr>
              <w:t>Case Western Reserve U</w:t>
            </w:r>
            <w:r w:rsidR="007C3335">
              <w:rPr>
                <w:rFonts w:ascii="Arial" w:hAnsi="Arial" w:cs="Arial"/>
                <w:sz w:val="20"/>
                <w:szCs w:val="20"/>
              </w:rPr>
              <w:t>.</w:t>
            </w:r>
            <w:r w:rsidRPr="00BB58A6">
              <w:rPr>
                <w:rFonts w:ascii="Arial" w:hAnsi="Arial" w:cs="Arial"/>
                <w:sz w:val="20"/>
                <w:szCs w:val="20"/>
              </w:rPr>
              <w:br/>
              <w:t>McGill University</w:t>
            </w:r>
          </w:p>
        </w:tc>
      </w:tr>
      <w:tr w:rsidR="008F5816" w:rsidRPr="00BB58A6" w:rsidTr="00F91F79">
        <w:trPr>
          <w:cantSplit/>
          <w:trHeight w:val="177"/>
          <w:jc w:val="center"/>
        </w:trPr>
        <w:tc>
          <w:tcPr>
            <w:tcW w:w="2909" w:type="dxa"/>
            <w:tcBorders>
              <w:left w:val="single" w:sz="18" w:space="0" w:color="auto"/>
            </w:tcBorders>
            <w:vAlign w:val="center"/>
          </w:tcPr>
          <w:p w:rsidR="008F5816" w:rsidRPr="00BB58A6" w:rsidRDefault="008F5816" w:rsidP="006F2008">
            <w:pPr>
              <w:rPr>
                <w:rFonts w:ascii="Arial" w:hAnsi="Arial" w:cs="Arial"/>
                <w:sz w:val="20"/>
                <w:szCs w:val="20"/>
              </w:rPr>
            </w:pPr>
            <w:r w:rsidRPr="00BB58A6">
              <w:rPr>
                <w:rFonts w:ascii="Arial" w:hAnsi="Arial" w:cs="Arial"/>
                <w:sz w:val="20"/>
                <w:szCs w:val="20"/>
              </w:rPr>
              <w:t>Consent</w:t>
            </w:r>
          </w:p>
        </w:tc>
        <w:tc>
          <w:tcPr>
            <w:tcW w:w="2345" w:type="dxa"/>
          </w:tcPr>
          <w:p w:rsidR="008F5816" w:rsidRPr="00BB58A6" w:rsidRDefault="008F5816" w:rsidP="006F2008">
            <w:pPr>
              <w:rPr>
                <w:rFonts w:ascii="Arial" w:hAnsi="Arial" w:cs="Arial"/>
                <w:sz w:val="20"/>
                <w:szCs w:val="20"/>
              </w:rPr>
            </w:pPr>
            <w:r w:rsidRPr="00BB58A6">
              <w:rPr>
                <w:rFonts w:ascii="Arial" w:hAnsi="Arial" w:cs="Arial"/>
                <w:sz w:val="20"/>
                <w:szCs w:val="20"/>
              </w:rPr>
              <w:t>John T. Wilbanks</w:t>
            </w:r>
            <w:r w:rsidRPr="00BB58A6">
              <w:rPr>
                <w:rFonts w:ascii="Arial" w:hAnsi="Arial" w:cs="Arial"/>
                <w:sz w:val="20"/>
                <w:szCs w:val="20"/>
              </w:rPr>
              <w:br/>
              <w:t>Eric M. Meslin</w:t>
            </w:r>
          </w:p>
        </w:tc>
        <w:tc>
          <w:tcPr>
            <w:tcW w:w="2306" w:type="dxa"/>
            <w:vAlign w:val="center"/>
          </w:tcPr>
          <w:p w:rsidR="008F5816" w:rsidRPr="00BB58A6" w:rsidRDefault="00683035" w:rsidP="00F91F79">
            <w:pPr>
              <w:rPr>
                <w:rFonts w:ascii="Arial" w:hAnsi="Arial" w:cs="Arial"/>
                <w:sz w:val="20"/>
                <w:szCs w:val="20"/>
              </w:rPr>
            </w:pPr>
            <w:r>
              <w:rPr>
                <w:rFonts w:ascii="Arial" w:hAnsi="Arial" w:cs="Arial"/>
                <w:sz w:val="20"/>
                <w:szCs w:val="20"/>
              </w:rPr>
              <w:t>PD/PI</w:t>
            </w:r>
            <w:r>
              <w:rPr>
                <w:rFonts w:ascii="Arial" w:hAnsi="Arial" w:cs="Arial"/>
                <w:sz w:val="20"/>
                <w:szCs w:val="20"/>
              </w:rPr>
              <w:br/>
              <w:t>Working Group/Author</w:t>
            </w:r>
          </w:p>
        </w:tc>
        <w:tc>
          <w:tcPr>
            <w:tcW w:w="2768" w:type="dxa"/>
            <w:tcBorders>
              <w:right w:val="single" w:sz="18" w:space="0" w:color="auto"/>
            </w:tcBorders>
            <w:vAlign w:val="center"/>
          </w:tcPr>
          <w:p w:rsidR="008F5816" w:rsidRPr="00BB58A6" w:rsidRDefault="008F5816" w:rsidP="00423BA8">
            <w:pPr>
              <w:rPr>
                <w:rFonts w:ascii="Arial" w:hAnsi="Arial" w:cs="Arial"/>
                <w:sz w:val="20"/>
                <w:szCs w:val="20"/>
              </w:rPr>
            </w:pPr>
            <w:r w:rsidRPr="00BB58A6">
              <w:rPr>
                <w:rFonts w:ascii="Arial" w:hAnsi="Arial" w:cs="Arial"/>
                <w:sz w:val="20"/>
                <w:szCs w:val="20"/>
              </w:rPr>
              <w:t>Sage Bionetwo</w:t>
            </w:r>
            <w:r w:rsidR="00683035">
              <w:rPr>
                <w:rFonts w:ascii="Arial" w:hAnsi="Arial" w:cs="Arial"/>
                <w:sz w:val="20"/>
                <w:szCs w:val="20"/>
              </w:rPr>
              <w:t>rks</w:t>
            </w:r>
            <w:r w:rsidR="00683035">
              <w:rPr>
                <w:rFonts w:ascii="Arial" w:hAnsi="Arial" w:cs="Arial"/>
                <w:sz w:val="20"/>
                <w:szCs w:val="20"/>
              </w:rPr>
              <w:br/>
              <w:t>Council of Canadian Acad</w:t>
            </w:r>
            <w:r w:rsidRPr="00BB58A6">
              <w:rPr>
                <w:rFonts w:ascii="Arial" w:hAnsi="Arial" w:cs="Arial"/>
                <w:sz w:val="20"/>
                <w:szCs w:val="20"/>
              </w:rPr>
              <w:t>s</w:t>
            </w:r>
            <w:r w:rsidR="00683035">
              <w:rPr>
                <w:rFonts w:ascii="Arial" w:hAnsi="Arial" w:cs="Arial"/>
                <w:sz w:val="20"/>
                <w:szCs w:val="20"/>
              </w:rPr>
              <w:t>.</w:t>
            </w:r>
          </w:p>
        </w:tc>
      </w:tr>
      <w:tr w:rsidR="008F5816" w:rsidRPr="00BB58A6" w:rsidTr="00F91F79">
        <w:trPr>
          <w:cantSplit/>
          <w:trHeight w:val="177"/>
          <w:jc w:val="center"/>
        </w:trPr>
        <w:tc>
          <w:tcPr>
            <w:tcW w:w="2909" w:type="dxa"/>
            <w:tcBorders>
              <w:left w:val="single" w:sz="18" w:space="0" w:color="auto"/>
            </w:tcBorders>
            <w:vAlign w:val="center"/>
          </w:tcPr>
          <w:p w:rsidR="008F5816" w:rsidRPr="00BB58A6" w:rsidRDefault="008F5816" w:rsidP="006F2008">
            <w:pPr>
              <w:rPr>
                <w:rFonts w:ascii="Arial" w:hAnsi="Arial" w:cs="Arial"/>
                <w:sz w:val="20"/>
                <w:szCs w:val="20"/>
              </w:rPr>
            </w:pPr>
            <w:r w:rsidRPr="00BB58A6">
              <w:rPr>
                <w:rFonts w:ascii="Arial" w:hAnsi="Arial" w:cs="Arial"/>
                <w:sz w:val="20"/>
                <w:szCs w:val="20"/>
              </w:rPr>
              <w:t>Representative samples</w:t>
            </w:r>
          </w:p>
        </w:tc>
        <w:tc>
          <w:tcPr>
            <w:tcW w:w="2345" w:type="dxa"/>
          </w:tcPr>
          <w:p w:rsidR="008F5816" w:rsidRPr="00BB58A6" w:rsidRDefault="008F5816" w:rsidP="006F2008">
            <w:pPr>
              <w:rPr>
                <w:rFonts w:ascii="Arial" w:hAnsi="Arial" w:cs="Arial"/>
                <w:sz w:val="20"/>
                <w:szCs w:val="20"/>
              </w:rPr>
            </w:pPr>
            <w:r w:rsidRPr="00BB58A6">
              <w:rPr>
                <w:rFonts w:ascii="Arial" w:hAnsi="Arial" w:cs="Arial"/>
                <w:sz w:val="20"/>
                <w:szCs w:val="20"/>
              </w:rPr>
              <w:t>S. Malia Fullerton</w:t>
            </w:r>
          </w:p>
        </w:tc>
        <w:tc>
          <w:tcPr>
            <w:tcW w:w="2306" w:type="dxa"/>
            <w:vAlign w:val="center"/>
          </w:tcPr>
          <w:p w:rsidR="008F5816" w:rsidRPr="00BB58A6" w:rsidRDefault="00683035" w:rsidP="00F91F79">
            <w:pPr>
              <w:rPr>
                <w:rFonts w:ascii="Arial" w:hAnsi="Arial" w:cs="Arial"/>
                <w:sz w:val="20"/>
                <w:szCs w:val="20"/>
              </w:rPr>
            </w:pPr>
            <w:r>
              <w:rPr>
                <w:rFonts w:ascii="Arial" w:hAnsi="Arial" w:cs="Arial"/>
                <w:sz w:val="20"/>
                <w:szCs w:val="20"/>
              </w:rPr>
              <w:t>Working Group/Author</w:t>
            </w:r>
          </w:p>
        </w:tc>
        <w:tc>
          <w:tcPr>
            <w:tcW w:w="2768" w:type="dxa"/>
            <w:tcBorders>
              <w:right w:val="single" w:sz="18" w:space="0" w:color="auto"/>
            </w:tcBorders>
            <w:vAlign w:val="center"/>
          </w:tcPr>
          <w:p w:rsidR="008F5816" w:rsidRPr="00BB58A6" w:rsidRDefault="008F5816" w:rsidP="00423BA8">
            <w:pPr>
              <w:rPr>
                <w:rFonts w:ascii="Arial" w:hAnsi="Arial" w:cs="Arial"/>
                <w:sz w:val="20"/>
                <w:szCs w:val="20"/>
              </w:rPr>
            </w:pPr>
            <w:r w:rsidRPr="00BB58A6">
              <w:rPr>
                <w:rFonts w:ascii="Arial" w:hAnsi="Arial" w:cs="Arial"/>
                <w:sz w:val="20"/>
                <w:szCs w:val="20"/>
              </w:rPr>
              <w:t>University of Washington</w:t>
            </w:r>
          </w:p>
        </w:tc>
      </w:tr>
      <w:tr w:rsidR="008F5816" w:rsidRPr="00BB58A6" w:rsidTr="00F91F79">
        <w:trPr>
          <w:cantSplit/>
          <w:trHeight w:val="177"/>
          <w:jc w:val="center"/>
        </w:trPr>
        <w:tc>
          <w:tcPr>
            <w:tcW w:w="2909" w:type="dxa"/>
            <w:tcBorders>
              <w:left w:val="single" w:sz="18" w:space="0" w:color="auto"/>
            </w:tcBorders>
            <w:vAlign w:val="center"/>
          </w:tcPr>
          <w:p w:rsidR="008F5816" w:rsidRPr="00BB58A6" w:rsidRDefault="008F5816" w:rsidP="006F2008">
            <w:pPr>
              <w:rPr>
                <w:rFonts w:ascii="Arial" w:hAnsi="Arial" w:cs="Arial"/>
                <w:sz w:val="20"/>
                <w:szCs w:val="20"/>
              </w:rPr>
            </w:pPr>
            <w:r w:rsidRPr="00BB58A6">
              <w:rPr>
                <w:rFonts w:ascii="Arial" w:hAnsi="Arial" w:cs="Arial"/>
                <w:sz w:val="20"/>
                <w:szCs w:val="20"/>
              </w:rPr>
              <w:t>Minority participation</w:t>
            </w:r>
          </w:p>
        </w:tc>
        <w:tc>
          <w:tcPr>
            <w:tcW w:w="2345" w:type="dxa"/>
          </w:tcPr>
          <w:p w:rsidR="008F5816" w:rsidRPr="00BB58A6" w:rsidRDefault="008F5816" w:rsidP="00B762A6">
            <w:pPr>
              <w:rPr>
                <w:rFonts w:ascii="Arial" w:hAnsi="Arial" w:cs="Arial"/>
                <w:sz w:val="20"/>
                <w:szCs w:val="20"/>
              </w:rPr>
            </w:pPr>
            <w:r w:rsidRPr="00BB58A6">
              <w:rPr>
                <w:rFonts w:ascii="Arial" w:hAnsi="Arial" w:cs="Arial"/>
                <w:sz w:val="20"/>
                <w:szCs w:val="20"/>
              </w:rPr>
              <w:t>Charmaine D.M. Royal</w:t>
            </w:r>
          </w:p>
        </w:tc>
        <w:tc>
          <w:tcPr>
            <w:tcW w:w="2306" w:type="dxa"/>
            <w:vAlign w:val="center"/>
          </w:tcPr>
          <w:p w:rsidR="008F5816" w:rsidRPr="00BB58A6" w:rsidRDefault="00683035" w:rsidP="00F91F79">
            <w:pPr>
              <w:rPr>
                <w:rFonts w:ascii="Arial" w:hAnsi="Arial" w:cs="Arial"/>
                <w:sz w:val="20"/>
                <w:szCs w:val="20"/>
              </w:rPr>
            </w:pPr>
            <w:r>
              <w:rPr>
                <w:rFonts w:ascii="Arial" w:hAnsi="Arial" w:cs="Arial"/>
                <w:sz w:val="20"/>
                <w:szCs w:val="20"/>
              </w:rPr>
              <w:t>Working Group/Author</w:t>
            </w:r>
          </w:p>
        </w:tc>
        <w:tc>
          <w:tcPr>
            <w:tcW w:w="2768" w:type="dxa"/>
            <w:tcBorders>
              <w:right w:val="single" w:sz="18" w:space="0" w:color="auto"/>
            </w:tcBorders>
            <w:vAlign w:val="center"/>
          </w:tcPr>
          <w:p w:rsidR="008F5816" w:rsidRPr="00BB58A6" w:rsidRDefault="008F5816" w:rsidP="00423BA8">
            <w:pPr>
              <w:rPr>
                <w:rFonts w:ascii="Arial" w:hAnsi="Arial" w:cs="Arial"/>
                <w:sz w:val="20"/>
                <w:szCs w:val="20"/>
              </w:rPr>
            </w:pPr>
            <w:r w:rsidRPr="00BB58A6">
              <w:rPr>
                <w:rFonts w:ascii="Arial" w:hAnsi="Arial" w:cs="Arial"/>
                <w:sz w:val="20"/>
                <w:szCs w:val="20"/>
              </w:rPr>
              <w:t>Duke University</w:t>
            </w:r>
          </w:p>
        </w:tc>
      </w:tr>
      <w:tr w:rsidR="008F5816" w:rsidRPr="00BB58A6" w:rsidTr="00F91F79">
        <w:trPr>
          <w:cantSplit/>
          <w:trHeight w:val="185"/>
          <w:jc w:val="center"/>
        </w:trPr>
        <w:tc>
          <w:tcPr>
            <w:tcW w:w="2909" w:type="dxa"/>
            <w:tcBorders>
              <w:left w:val="single" w:sz="18" w:space="0" w:color="auto"/>
            </w:tcBorders>
            <w:vAlign w:val="center"/>
          </w:tcPr>
          <w:p w:rsidR="008F5816" w:rsidRPr="00BB58A6" w:rsidRDefault="008F5816" w:rsidP="006F2008">
            <w:pPr>
              <w:rPr>
                <w:rFonts w:ascii="Arial" w:hAnsi="Arial" w:cs="Arial"/>
                <w:sz w:val="20"/>
                <w:szCs w:val="20"/>
              </w:rPr>
            </w:pPr>
            <w:r w:rsidRPr="00BB58A6">
              <w:rPr>
                <w:rFonts w:ascii="Arial" w:hAnsi="Arial" w:cs="Arial"/>
                <w:sz w:val="20"/>
                <w:szCs w:val="20"/>
              </w:rPr>
              <w:t>Group harms and benefits</w:t>
            </w:r>
          </w:p>
        </w:tc>
        <w:tc>
          <w:tcPr>
            <w:tcW w:w="2345" w:type="dxa"/>
          </w:tcPr>
          <w:p w:rsidR="008F5816" w:rsidRPr="00BB58A6" w:rsidRDefault="008F5816" w:rsidP="006F2008">
            <w:pPr>
              <w:rPr>
                <w:rFonts w:ascii="Arial" w:hAnsi="Arial" w:cs="Arial"/>
                <w:sz w:val="20"/>
                <w:szCs w:val="20"/>
              </w:rPr>
            </w:pPr>
            <w:r w:rsidRPr="00BB58A6">
              <w:rPr>
                <w:rFonts w:ascii="Arial" w:hAnsi="Arial" w:cs="Arial"/>
                <w:sz w:val="20"/>
                <w:szCs w:val="20"/>
              </w:rPr>
              <w:t>Joon-Ho Yu</w:t>
            </w:r>
          </w:p>
        </w:tc>
        <w:tc>
          <w:tcPr>
            <w:tcW w:w="2306" w:type="dxa"/>
            <w:vAlign w:val="center"/>
          </w:tcPr>
          <w:p w:rsidR="008F5816" w:rsidRPr="00BB58A6" w:rsidRDefault="00683035" w:rsidP="00F91F79">
            <w:pPr>
              <w:rPr>
                <w:rFonts w:ascii="Arial" w:hAnsi="Arial" w:cs="Arial"/>
                <w:sz w:val="20"/>
                <w:szCs w:val="20"/>
              </w:rPr>
            </w:pPr>
            <w:r>
              <w:rPr>
                <w:rFonts w:ascii="Arial" w:hAnsi="Arial" w:cs="Arial"/>
                <w:sz w:val="20"/>
                <w:szCs w:val="20"/>
              </w:rPr>
              <w:t>Working Group/Author</w:t>
            </w:r>
          </w:p>
        </w:tc>
        <w:tc>
          <w:tcPr>
            <w:tcW w:w="2768" w:type="dxa"/>
            <w:tcBorders>
              <w:right w:val="single" w:sz="18" w:space="0" w:color="auto"/>
            </w:tcBorders>
            <w:vAlign w:val="center"/>
          </w:tcPr>
          <w:p w:rsidR="008F5816" w:rsidRPr="00BB58A6" w:rsidRDefault="008F5816" w:rsidP="00423BA8">
            <w:pPr>
              <w:rPr>
                <w:rFonts w:ascii="Arial" w:hAnsi="Arial" w:cs="Arial"/>
                <w:sz w:val="20"/>
                <w:szCs w:val="20"/>
              </w:rPr>
            </w:pPr>
            <w:r w:rsidRPr="00BB58A6">
              <w:rPr>
                <w:rFonts w:ascii="Arial" w:hAnsi="Arial" w:cs="Arial"/>
                <w:sz w:val="20"/>
                <w:szCs w:val="20"/>
              </w:rPr>
              <w:t>University of Washington</w:t>
            </w:r>
          </w:p>
        </w:tc>
      </w:tr>
      <w:tr w:rsidR="008F5816" w:rsidRPr="00BB58A6" w:rsidTr="00F91F79">
        <w:trPr>
          <w:cantSplit/>
          <w:trHeight w:val="177"/>
          <w:jc w:val="center"/>
        </w:trPr>
        <w:tc>
          <w:tcPr>
            <w:tcW w:w="2909" w:type="dxa"/>
            <w:tcBorders>
              <w:left w:val="single" w:sz="18" w:space="0" w:color="auto"/>
            </w:tcBorders>
            <w:vAlign w:val="center"/>
          </w:tcPr>
          <w:p w:rsidR="008F5816" w:rsidRPr="00BB58A6" w:rsidRDefault="008F5816" w:rsidP="006F2008">
            <w:pPr>
              <w:rPr>
                <w:rFonts w:ascii="Arial" w:hAnsi="Arial" w:cs="Arial"/>
                <w:sz w:val="20"/>
                <w:szCs w:val="20"/>
              </w:rPr>
            </w:pPr>
            <w:r w:rsidRPr="00BB58A6">
              <w:rPr>
                <w:rFonts w:ascii="Arial" w:hAnsi="Arial" w:cs="Arial"/>
                <w:sz w:val="20"/>
                <w:szCs w:val="20"/>
              </w:rPr>
              <w:t>Children as research subjects</w:t>
            </w:r>
          </w:p>
        </w:tc>
        <w:tc>
          <w:tcPr>
            <w:tcW w:w="2345" w:type="dxa"/>
          </w:tcPr>
          <w:p w:rsidR="008F5816" w:rsidRPr="00BB58A6" w:rsidRDefault="008F5816" w:rsidP="004252B1">
            <w:pPr>
              <w:rPr>
                <w:rFonts w:ascii="Arial" w:hAnsi="Arial" w:cs="Arial"/>
                <w:sz w:val="20"/>
                <w:szCs w:val="20"/>
              </w:rPr>
            </w:pPr>
            <w:r w:rsidRPr="00BB58A6">
              <w:rPr>
                <w:rFonts w:ascii="Arial" w:hAnsi="Arial" w:cs="Arial"/>
                <w:sz w:val="20"/>
                <w:szCs w:val="20"/>
              </w:rPr>
              <w:t>Kyle B. Brothers</w:t>
            </w:r>
          </w:p>
        </w:tc>
        <w:tc>
          <w:tcPr>
            <w:tcW w:w="2306" w:type="dxa"/>
            <w:vAlign w:val="center"/>
          </w:tcPr>
          <w:p w:rsidR="008F5816" w:rsidRPr="00BB58A6" w:rsidRDefault="00F91F79" w:rsidP="00F91F79">
            <w:pPr>
              <w:rPr>
                <w:rFonts w:ascii="Arial" w:hAnsi="Arial" w:cs="Arial"/>
                <w:sz w:val="20"/>
                <w:szCs w:val="20"/>
              </w:rPr>
            </w:pPr>
            <w:r>
              <w:rPr>
                <w:rFonts w:ascii="Arial" w:hAnsi="Arial" w:cs="Arial"/>
                <w:sz w:val="20"/>
                <w:szCs w:val="20"/>
              </w:rPr>
              <w:t>C</w:t>
            </w:r>
            <w:r w:rsidR="00683035">
              <w:rPr>
                <w:rFonts w:ascii="Arial" w:hAnsi="Arial" w:cs="Arial"/>
                <w:sz w:val="20"/>
                <w:szCs w:val="20"/>
              </w:rPr>
              <w:t>o-</w:t>
            </w:r>
            <w:r>
              <w:rPr>
                <w:rFonts w:ascii="Arial" w:hAnsi="Arial" w:cs="Arial"/>
                <w:sz w:val="20"/>
                <w:szCs w:val="20"/>
              </w:rPr>
              <w:t>I</w:t>
            </w:r>
            <w:r w:rsidR="00683035">
              <w:rPr>
                <w:rFonts w:ascii="Arial" w:hAnsi="Arial" w:cs="Arial"/>
                <w:sz w:val="20"/>
                <w:szCs w:val="20"/>
              </w:rPr>
              <w:t>nvestigator</w:t>
            </w:r>
          </w:p>
        </w:tc>
        <w:tc>
          <w:tcPr>
            <w:tcW w:w="2768" w:type="dxa"/>
            <w:tcBorders>
              <w:right w:val="single" w:sz="18" w:space="0" w:color="auto"/>
            </w:tcBorders>
            <w:vAlign w:val="center"/>
          </w:tcPr>
          <w:p w:rsidR="008F5816" w:rsidRPr="00BB58A6" w:rsidRDefault="008F5816" w:rsidP="00423BA8">
            <w:pPr>
              <w:rPr>
                <w:rFonts w:ascii="Arial" w:hAnsi="Arial" w:cs="Arial"/>
                <w:sz w:val="20"/>
                <w:szCs w:val="20"/>
              </w:rPr>
            </w:pPr>
            <w:r w:rsidRPr="00BB58A6">
              <w:rPr>
                <w:rFonts w:ascii="Arial" w:hAnsi="Arial" w:cs="Arial"/>
                <w:sz w:val="20"/>
                <w:szCs w:val="20"/>
              </w:rPr>
              <w:t>University of Louisville</w:t>
            </w:r>
          </w:p>
        </w:tc>
      </w:tr>
      <w:tr w:rsidR="008F5816" w:rsidRPr="00BB58A6" w:rsidTr="00F91F79">
        <w:trPr>
          <w:cantSplit/>
          <w:trHeight w:val="177"/>
          <w:jc w:val="center"/>
        </w:trPr>
        <w:tc>
          <w:tcPr>
            <w:tcW w:w="2909" w:type="dxa"/>
            <w:tcBorders>
              <w:left w:val="single" w:sz="18" w:space="0" w:color="auto"/>
              <w:bottom w:val="single" w:sz="18" w:space="0" w:color="auto"/>
            </w:tcBorders>
            <w:vAlign w:val="center"/>
          </w:tcPr>
          <w:p w:rsidR="008F5816" w:rsidRPr="00BB58A6" w:rsidRDefault="008F5816" w:rsidP="006F2008">
            <w:pPr>
              <w:rPr>
                <w:rFonts w:ascii="Arial" w:hAnsi="Arial" w:cs="Arial"/>
                <w:sz w:val="20"/>
                <w:szCs w:val="20"/>
              </w:rPr>
            </w:pPr>
            <w:r w:rsidRPr="00BB58A6">
              <w:rPr>
                <w:rFonts w:ascii="Arial" w:hAnsi="Arial" w:cs="Arial"/>
                <w:sz w:val="20"/>
                <w:szCs w:val="20"/>
              </w:rPr>
              <w:t>Incidental findings and return of results</w:t>
            </w:r>
          </w:p>
        </w:tc>
        <w:tc>
          <w:tcPr>
            <w:tcW w:w="2345" w:type="dxa"/>
            <w:tcBorders>
              <w:bottom w:val="single" w:sz="18" w:space="0" w:color="auto"/>
            </w:tcBorders>
          </w:tcPr>
          <w:p w:rsidR="008F5816" w:rsidRPr="00BB58A6" w:rsidRDefault="008F5816" w:rsidP="006F2008">
            <w:pPr>
              <w:rPr>
                <w:rFonts w:ascii="Arial" w:hAnsi="Arial" w:cs="Arial"/>
                <w:sz w:val="20"/>
                <w:szCs w:val="20"/>
              </w:rPr>
            </w:pPr>
            <w:r w:rsidRPr="00BB58A6">
              <w:rPr>
                <w:rFonts w:ascii="Arial" w:hAnsi="Arial" w:cs="Arial"/>
                <w:sz w:val="20"/>
                <w:szCs w:val="20"/>
              </w:rPr>
              <w:t>Susan M. Wolf</w:t>
            </w:r>
            <w:r w:rsidRPr="00BB58A6">
              <w:rPr>
                <w:rFonts w:ascii="Arial" w:hAnsi="Arial" w:cs="Arial"/>
                <w:sz w:val="20"/>
                <w:szCs w:val="20"/>
              </w:rPr>
              <w:br/>
              <w:t>Ellen Wright Clayton</w:t>
            </w:r>
          </w:p>
        </w:tc>
        <w:tc>
          <w:tcPr>
            <w:tcW w:w="2306" w:type="dxa"/>
            <w:tcBorders>
              <w:bottom w:val="single" w:sz="18" w:space="0" w:color="auto"/>
            </w:tcBorders>
            <w:vAlign w:val="center"/>
          </w:tcPr>
          <w:p w:rsidR="008F5816" w:rsidRPr="00BB58A6" w:rsidRDefault="00683035" w:rsidP="00F91F79">
            <w:pPr>
              <w:rPr>
                <w:rFonts w:ascii="Arial" w:hAnsi="Arial" w:cs="Arial"/>
                <w:sz w:val="20"/>
                <w:szCs w:val="20"/>
              </w:rPr>
            </w:pPr>
            <w:r>
              <w:rPr>
                <w:rFonts w:ascii="Arial" w:hAnsi="Arial" w:cs="Arial"/>
                <w:sz w:val="20"/>
                <w:szCs w:val="20"/>
              </w:rPr>
              <w:t>Working Group/Author</w:t>
            </w:r>
            <w:r>
              <w:rPr>
                <w:rFonts w:ascii="Arial" w:hAnsi="Arial" w:cs="Arial"/>
                <w:sz w:val="20"/>
                <w:szCs w:val="20"/>
              </w:rPr>
              <w:br/>
              <w:t>Working Group/Author</w:t>
            </w:r>
          </w:p>
        </w:tc>
        <w:tc>
          <w:tcPr>
            <w:tcW w:w="2768" w:type="dxa"/>
            <w:tcBorders>
              <w:bottom w:val="single" w:sz="18" w:space="0" w:color="auto"/>
              <w:right w:val="single" w:sz="18" w:space="0" w:color="auto"/>
            </w:tcBorders>
            <w:vAlign w:val="center"/>
          </w:tcPr>
          <w:p w:rsidR="008F5816" w:rsidRPr="00BB58A6" w:rsidRDefault="008F5816" w:rsidP="00423BA8">
            <w:pPr>
              <w:rPr>
                <w:rFonts w:ascii="Arial" w:hAnsi="Arial" w:cs="Arial"/>
                <w:sz w:val="20"/>
                <w:szCs w:val="20"/>
              </w:rPr>
            </w:pPr>
            <w:r w:rsidRPr="00BB58A6">
              <w:rPr>
                <w:rFonts w:ascii="Arial" w:hAnsi="Arial" w:cs="Arial"/>
                <w:sz w:val="20"/>
                <w:szCs w:val="20"/>
              </w:rPr>
              <w:t>University of Minnesota</w:t>
            </w:r>
            <w:r w:rsidRPr="00BB58A6">
              <w:rPr>
                <w:rFonts w:ascii="Arial" w:hAnsi="Arial" w:cs="Arial"/>
                <w:sz w:val="20"/>
                <w:szCs w:val="20"/>
              </w:rPr>
              <w:br/>
              <w:t>Vanderbilt University</w:t>
            </w:r>
          </w:p>
        </w:tc>
      </w:tr>
    </w:tbl>
    <w:p w:rsidR="00570D5B" w:rsidRPr="00570D5B" w:rsidRDefault="006F5C14" w:rsidP="00423BA8">
      <w:pPr>
        <w:spacing w:before="120" w:after="120" w:line="240" w:lineRule="exact"/>
        <w:jc w:val="both"/>
        <w:rPr>
          <w:rFonts w:ascii="Arial" w:hAnsi="Arial"/>
          <w:sz w:val="22"/>
        </w:rPr>
      </w:pPr>
      <w:r>
        <w:rPr>
          <w:rFonts w:ascii="Arial" w:hAnsi="Arial"/>
          <w:sz w:val="22"/>
        </w:rPr>
        <w:t>Following Working Group M</w:t>
      </w:r>
      <w:r w:rsidR="00570D5B">
        <w:rPr>
          <w:rFonts w:ascii="Arial" w:hAnsi="Arial"/>
          <w:sz w:val="22"/>
        </w:rPr>
        <w:t xml:space="preserve">eeting #3, and based on feedback from the </w:t>
      </w:r>
      <w:r>
        <w:rPr>
          <w:rFonts w:ascii="Arial" w:hAnsi="Arial"/>
          <w:sz w:val="22"/>
        </w:rPr>
        <w:t xml:space="preserve">group, each author will </w:t>
      </w:r>
      <w:r w:rsidR="007277E9">
        <w:rPr>
          <w:rFonts w:ascii="Arial" w:hAnsi="Arial"/>
          <w:sz w:val="22"/>
        </w:rPr>
        <w:t>complete</w:t>
      </w:r>
      <w:r>
        <w:rPr>
          <w:rFonts w:ascii="Arial" w:hAnsi="Arial"/>
          <w:sz w:val="22"/>
        </w:rPr>
        <w:t xml:space="preserve"> a 5</w:t>
      </w:r>
      <w:r w:rsidR="00F627F3">
        <w:rPr>
          <w:rFonts w:ascii="Arial" w:hAnsi="Arial"/>
          <w:sz w:val="22"/>
        </w:rPr>
        <w:t>,</w:t>
      </w:r>
      <w:r w:rsidR="00570D5B">
        <w:rPr>
          <w:rFonts w:ascii="Arial" w:hAnsi="Arial"/>
          <w:sz w:val="22"/>
        </w:rPr>
        <w:t>000 word article describing critical challenges, identifying policies or technologies that could help address the challenges, and propos</w:t>
      </w:r>
      <w:r w:rsidR="00CE3A4B">
        <w:rPr>
          <w:rFonts w:ascii="Arial" w:hAnsi="Arial"/>
          <w:sz w:val="22"/>
        </w:rPr>
        <w:t>ing</w:t>
      </w:r>
      <w:r>
        <w:rPr>
          <w:rFonts w:ascii="Arial" w:hAnsi="Arial"/>
          <w:sz w:val="22"/>
        </w:rPr>
        <w:t xml:space="preserve"> </w:t>
      </w:r>
      <w:r w:rsidR="00570D5B">
        <w:rPr>
          <w:rFonts w:ascii="Arial" w:hAnsi="Arial"/>
          <w:sz w:val="22"/>
        </w:rPr>
        <w:t xml:space="preserve">draft </w:t>
      </w:r>
      <w:r w:rsidR="007277E9">
        <w:rPr>
          <w:rFonts w:ascii="Arial" w:hAnsi="Arial"/>
          <w:sz w:val="22"/>
        </w:rPr>
        <w:t xml:space="preserve">language of </w:t>
      </w:r>
      <w:r>
        <w:rPr>
          <w:rFonts w:ascii="Arial" w:hAnsi="Arial"/>
          <w:sz w:val="22"/>
        </w:rPr>
        <w:t>recommendation</w:t>
      </w:r>
      <w:r w:rsidR="007277E9">
        <w:rPr>
          <w:rFonts w:ascii="Arial" w:hAnsi="Arial"/>
          <w:sz w:val="22"/>
        </w:rPr>
        <w:t>s</w:t>
      </w:r>
      <w:r>
        <w:rPr>
          <w:rFonts w:ascii="Arial" w:hAnsi="Arial"/>
          <w:sz w:val="22"/>
        </w:rPr>
        <w:t xml:space="preserve"> for</w:t>
      </w:r>
      <w:r w:rsidR="00570D5B">
        <w:rPr>
          <w:rFonts w:ascii="Arial" w:hAnsi="Arial"/>
          <w:sz w:val="22"/>
        </w:rPr>
        <w:t xml:space="preserve"> the Working Group. </w:t>
      </w:r>
    </w:p>
    <w:p w:rsidR="007051AF" w:rsidRDefault="007054A3" w:rsidP="00423BA8">
      <w:pPr>
        <w:spacing w:after="120" w:line="240" w:lineRule="exact"/>
        <w:jc w:val="both"/>
        <w:rPr>
          <w:rFonts w:ascii="Arial" w:hAnsi="Arial"/>
          <w:sz w:val="22"/>
        </w:rPr>
      </w:pPr>
      <w:r>
        <w:rPr>
          <w:rFonts w:ascii="Arial" w:hAnsi="Arial"/>
          <w:b/>
          <w:sz w:val="22"/>
        </w:rPr>
        <w:t xml:space="preserve">Stage 4: </w:t>
      </w:r>
      <w:r w:rsidR="00FE70E1" w:rsidRPr="00FE70E1">
        <w:rPr>
          <w:rFonts w:ascii="Arial" w:hAnsi="Arial"/>
          <w:sz w:val="22"/>
        </w:rPr>
        <w:t xml:space="preserve">Working Group Meeting #4, lasting one day, will </w:t>
      </w:r>
      <w:r w:rsidR="006846CE">
        <w:rPr>
          <w:rFonts w:ascii="Arial" w:hAnsi="Arial"/>
          <w:sz w:val="22"/>
        </w:rPr>
        <w:t>attempt</w:t>
      </w:r>
      <w:r w:rsidR="00FE70E1">
        <w:rPr>
          <w:rFonts w:ascii="Arial" w:hAnsi="Arial"/>
          <w:sz w:val="22"/>
        </w:rPr>
        <w:t xml:space="preserve"> </w:t>
      </w:r>
      <w:r w:rsidR="006846CE">
        <w:rPr>
          <w:rFonts w:ascii="Arial" w:hAnsi="Arial"/>
          <w:sz w:val="22"/>
        </w:rPr>
        <w:t xml:space="preserve">to </w:t>
      </w:r>
      <w:r w:rsidR="00FE70E1">
        <w:rPr>
          <w:rFonts w:ascii="Arial" w:hAnsi="Arial"/>
          <w:sz w:val="22"/>
        </w:rPr>
        <w:t>achiev</w:t>
      </w:r>
      <w:r w:rsidR="006846CE">
        <w:rPr>
          <w:rFonts w:ascii="Arial" w:hAnsi="Arial"/>
          <w:sz w:val="22"/>
        </w:rPr>
        <w:t>e</w:t>
      </w:r>
      <w:r w:rsidR="00FE70E1">
        <w:rPr>
          <w:rFonts w:ascii="Arial" w:hAnsi="Arial"/>
          <w:sz w:val="22"/>
        </w:rPr>
        <w:t xml:space="preserve"> consensus on the key issues </w:t>
      </w:r>
      <w:r w:rsidR="002B4166">
        <w:rPr>
          <w:rFonts w:ascii="Arial" w:hAnsi="Arial"/>
          <w:sz w:val="22"/>
        </w:rPr>
        <w:t>discuss</w:t>
      </w:r>
      <w:r w:rsidR="00FE70E1">
        <w:rPr>
          <w:rFonts w:ascii="Arial" w:hAnsi="Arial"/>
          <w:sz w:val="22"/>
        </w:rPr>
        <w:t>ed during the first three</w:t>
      </w:r>
      <w:r w:rsidR="004C5CCD">
        <w:rPr>
          <w:rFonts w:ascii="Arial" w:hAnsi="Arial"/>
          <w:sz w:val="22"/>
        </w:rPr>
        <w:t xml:space="preserve"> Working Group meetings. </w:t>
      </w:r>
      <w:r w:rsidR="007051AF" w:rsidRPr="00440B6A">
        <w:rPr>
          <w:rFonts w:ascii="Arial" w:hAnsi="Arial"/>
          <w:sz w:val="22"/>
        </w:rPr>
        <w:t xml:space="preserve">We considered </w:t>
      </w:r>
      <w:r w:rsidR="007051AF">
        <w:rPr>
          <w:rFonts w:ascii="Arial" w:hAnsi="Arial"/>
          <w:sz w:val="22"/>
        </w:rPr>
        <w:t xml:space="preserve">several </w:t>
      </w:r>
      <w:r w:rsidR="007051AF" w:rsidRPr="00440B6A">
        <w:rPr>
          <w:rFonts w:ascii="Arial" w:hAnsi="Arial"/>
          <w:sz w:val="22"/>
        </w:rPr>
        <w:t xml:space="preserve">formal consensus methodologies commonly used </w:t>
      </w:r>
      <w:r w:rsidR="007051AF">
        <w:rPr>
          <w:rFonts w:ascii="Arial" w:hAnsi="Arial"/>
          <w:sz w:val="22"/>
        </w:rPr>
        <w:t xml:space="preserve">in </w:t>
      </w:r>
      <w:r w:rsidR="007051AF" w:rsidRPr="00440B6A">
        <w:rPr>
          <w:rFonts w:ascii="Arial" w:hAnsi="Arial"/>
          <w:sz w:val="22"/>
        </w:rPr>
        <w:t xml:space="preserve">health-related </w:t>
      </w:r>
      <w:r w:rsidR="007051AF">
        <w:rPr>
          <w:rFonts w:ascii="Arial" w:hAnsi="Arial"/>
          <w:sz w:val="22"/>
        </w:rPr>
        <w:t>fields</w:t>
      </w:r>
      <w:r w:rsidR="007051AF" w:rsidRPr="00440B6A">
        <w:rPr>
          <w:rFonts w:ascii="Arial" w:hAnsi="Arial"/>
          <w:sz w:val="22"/>
        </w:rPr>
        <w:t>, including the Delphi metho</w:t>
      </w:r>
      <w:r w:rsidR="007051AF">
        <w:rPr>
          <w:rFonts w:ascii="Arial" w:hAnsi="Arial"/>
          <w:sz w:val="22"/>
        </w:rPr>
        <w:t>d,</w:t>
      </w:r>
      <w:r w:rsidR="007051AF">
        <w:rPr>
          <w:rStyle w:val="EndnoteReference"/>
          <w:rFonts w:ascii="Arial" w:hAnsi="Arial"/>
          <w:sz w:val="22"/>
        </w:rPr>
        <w:endnoteReference w:id="53"/>
      </w:r>
      <w:r w:rsidR="007051AF" w:rsidRPr="00440B6A">
        <w:rPr>
          <w:rFonts w:ascii="Arial" w:hAnsi="Arial"/>
          <w:sz w:val="22"/>
        </w:rPr>
        <w:t xml:space="preserve"> the Nominal Group Techniqu</w:t>
      </w:r>
      <w:r w:rsidR="007051AF">
        <w:rPr>
          <w:rFonts w:ascii="Arial" w:hAnsi="Arial"/>
          <w:sz w:val="22"/>
        </w:rPr>
        <w:t>e,</w:t>
      </w:r>
      <w:r w:rsidR="007051AF">
        <w:rPr>
          <w:rStyle w:val="EndnoteReference"/>
          <w:rFonts w:ascii="Arial" w:hAnsi="Arial"/>
          <w:sz w:val="22"/>
        </w:rPr>
        <w:endnoteReference w:id="54"/>
      </w:r>
      <w:r w:rsidR="007051AF" w:rsidRPr="00440B6A">
        <w:rPr>
          <w:rFonts w:ascii="Arial" w:hAnsi="Arial"/>
          <w:sz w:val="22"/>
        </w:rPr>
        <w:t xml:space="preserve"> </w:t>
      </w:r>
      <w:r w:rsidR="007051AF">
        <w:rPr>
          <w:rFonts w:ascii="Arial" w:hAnsi="Arial"/>
          <w:sz w:val="22"/>
        </w:rPr>
        <w:t xml:space="preserve">the </w:t>
      </w:r>
      <w:r w:rsidR="007051AF" w:rsidRPr="00440B6A">
        <w:rPr>
          <w:rFonts w:ascii="Arial" w:hAnsi="Arial"/>
          <w:sz w:val="22"/>
        </w:rPr>
        <w:t>RAND/UCLA Appropriateness Method (RAM</w:t>
      </w:r>
      <w:r w:rsidR="007051AF">
        <w:rPr>
          <w:rFonts w:ascii="Arial" w:hAnsi="Arial"/>
          <w:sz w:val="22"/>
        </w:rPr>
        <w:t>),</w:t>
      </w:r>
      <w:r w:rsidR="007051AF">
        <w:rPr>
          <w:rStyle w:val="EndnoteReference"/>
          <w:rFonts w:ascii="Arial" w:hAnsi="Arial"/>
          <w:sz w:val="22"/>
        </w:rPr>
        <w:endnoteReference w:id="55"/>
      </w:r>
      <w:r w:rsidR="007051AF" w:rsidRPr="00440B6A">
        <w:rPr>
          <w:rFonts w:ascii="Arial" w:hAnsi="Arial"/>
          <w:sz w:val="22"/>
        </w:rPr>
        <w:t xml:space="preserve"> and the NIH consensus development conferenc</w:t>
      </w:r>
      <w:r w:rsidR="007051AF">
        <w:rPr>
          <w:rFonts w:ascii="Arial" w:hAnsi="Arial"/>
          <w:sz w:val="22"/>
        </w:rPr>
        <w:t>e.</w:t>
      </w:r>
      <w:r w:rsidR="007051AF">
        <w:rPr>
          <w:rStyle w:val="EndnoteReference"/>
          <w:rFonts w:ascii="Arial" w:hAnsi="Arial"/>
          <w:sz w:val="22"/>
        </w:rPr>
        <w:endnoteReference w:id="56"/>
      </w:r>
      <w:r w:rsidR="007051AF">
        <w:rPr>
          <w:rFonts w:ascii="Arial" w:hAnsi="Arial"/>
          <w:sz w:val="22"/>
        </w:rPr>
        <w:t xml:space="preserve"> These methods were developed to define levels of agreement on controversial or newly-emerging topics where objective information is insufficient. Although they all generally involve organizing subjective judgments and synthesizing them with existing evidence, each method has particular advantages and disadvantages, and they are often modified to best suit the topic at hand and available resources.</w:t>
      </w:r>
      <w:r w:rsidR="007051AF">
        <w:rPr>
          <w:rStyle w:val="EndnoteReference"/>
          <w:rFonts w:ascii="Arial" w:hAnsi="Arial"/>
          <w:sz w:val="22"/>
        </w:rPr>
        <w:endnoteReference w:id="57"/>
      </w:r>
    </w:p>
    <w:p w:rsidR="007051AF" w:rsidRPr="00440B6A" w:rsidRDefault="007051AF" w:rsidP="00423BA8">
      <w:pPr>
        <w:spacing w:after="120" w:line="240" w:lineRule="exact"/>
        <w:jc w:val="both"/>
        <w:rPr>
          <w:rFonts w:ascii="Arial" w:hAnsi="Arial"/>
          <w:sz w:val="22"/>
        </w:rPr>
      </w:pPr>
      <w:r>
        <w:rPr>
          <w:rFonts w:ascii="Arial" w:hAnsi="Arial"/>
          <w:sz w:val="22"/>
        </w:rPr>
        <w:t xml:space="preserve">We have selected RAM (with modifications) as the optimal method for building and assessing expert consensus on the appropriateness of specific approaches to ELSI issues arising in unregulated mHealth research. Traditionally, RAM has been used to assess the relative weight of the benefits and harms of a medical or surgical intervention and involves these steps: (1) </w:t>
      </w:r>
      <w:r w:rsidR="00F91F79">
        <w:rPr>
          <w:rFonts w:ascii="Arial" w:hAnsi="Arial"/>
          <w:sz w:val="22"/>
        </w:rPr>
        <w:t>p</w:t>
      </w:r>
      <w:r>
        <w:rPr>
          <w:rFonts w:ascii="Arial" w:hAnsi="Arial"/>
          <w:sz w:val="22"/>
        </w:rPr>
        <w:t>erform a detailed literature review to synthesize the lates</w:t>
      </w:r>
      <w:r w:rsidR="006846CE">
        <w:rPr>
          <w:rFonts w:ascii="Arial" w:hAnsi="Arial"/>
          <w:sz w:val="22"/>
        </w:rPr>
        <w:t>t available scientific evidence</w:t>
      </w:r>
      <w:r>
        <w:rPr>
          <w:rFonts w:ascii="Arial" w:hAnsi="Arial"/>
          <w:sz w:val="22"/>
        </w:rPr>
        <w:t xml:space="preserve">; (2) </w:t>
      </w:r>
      <w:r w:rsidR="00F91F79">
        <w:rPr>
          <w:rFonts w:ascii="Arial" w:hAnsi="Arial"/>
          <w:sz w:val="22"/>
        </w:rPr>
        <w:t>p</w:t>
      </w:r>
      <w:r>
        <w:rPr>
          <w:rFonts w:ascii="Arial" w:hAnsi="Arial"/>
          <w:sz w:val="22"/>
        </w:rPr>
        <w:t xml:space="preserve">roduce a list of specific clinical scenarios that categorize patients who might present for the procedure); (3) </w:t>
      </w:r>
      <w:r w:rsidR="00F91F79">
        <w:rPr>
          <w:rFonts w:ascii="Arial" w:hAnsi="Arial"/>
          <w:sz w:val="22"/>
        </w:rPr>
        <w:t>i</w:t>
      </w:r>
      <w:r>
        <w:rPr>
          <w:rFonts w:ascii="Arial" w:hAnsi="Arial"/>
          <w:sz w:val="22"/>
        </w:rPr>
        <w:t>dentify a panel of experts, who individually read the literature review and then rate the benefit</w:t>
      </w:r>
      <w:r w:rsidR="006846CE">
        <w:rPr>
          <w:rFonts w:ascii="Arial" w:hAnsi="Arial"/>
          <w:sz w:val="22"/>
        </w:rPr>
        <w:t>-to-harm ratio of the procedure</w:t>
      </w:r>
      <w:r>
        <w:rPr>
          <w:rFonts w:ascii="Arial" w:hAnsi="Arial"/>
          <w:sz w:val="22"/>
        </w:rPr>
        <w:t xml:space="preserve">; (4) </w:t>
      </w:r>
      <w:r w:rsidR="00F91F79">
        <w:rPr>
          <w:rFonts w:ascii="Arial" w:hAnsi="Arial"/>
          <w:sz w:val="22"/>
        </w:rPr>
        <w:t>c</w:t>
      </w:r>
      <w:r>
        <w:rPr>
          <w:rFonts w:ascii="Arial" w:hAnsi="Arial"/>
          <w:sz w:val="22"/>
        </w:rPr>
        <w:t xml:space="preserve">onvene an in-person meeting of the panel, during which panelists discuss the distribution of the group’s ratings for each indication, focusing on areas of disagreement; (5) </w:t>
      </w:r>
      <w:r w:rsidR="00F91F79">
        <w:rPr>
          <w:rFonts w:ascii="Arial" w:hAnsi="Arial"/>
          <w:sz w:val="22"/>
        </w:rPr>
        <w:t>p</w:t>
      </w:r>
      <w:r>
        <w:rPr>
          <w:rFonts w:ascii="Arial" w:hAnsi="Arial"/>
          <w:sz w:val="22"/>
        </w:rPr>
        <w:t xml:space="preserve">rovide panelists the opportunity to revise their ratings, with no attempt to force consensus; (6) </w:t>
      </w:r>
      <w:r w:rsidR="00F91F79">
        <w:rPr>
          <w:rFonts w:ascii="Arial" w:hAnsi="Arial"/>
          <w:sz w:val="22"/>
        </w:rPr>
        <w:t>c</w:t>
      </w:r>
      <w:r>
        <w:rPr>
          <w:rFonts w:ascii="Arial" w:hAnsi="Arial"/>
          <w:sz w:val="22"/>
        </w:rPr>
        <w:t>lassify the procedure as “appropriate</w:t>
      </w:r>
      <w:r w:rsidR="00F91F79">
        <w:rPr>
          <w:rFonts w:ascii="Arial" w:hAnsi="Arial"/>
          <w:sz w:val="22"/>
        </w:rPr>
        <w:t>,</w:t>
      </w:r>
      <w:r>
        <w:rPr>
          <w:rFonts w:ascii="Arial" w:hAnsi="Arial"/>
          <w:sz w:val="22"/>
        </w:rPr>
        <w:t>” “uncertain</w:t>
      </w:r>
      <w:r w:rsidR="00F91F79">
        <w:rPr>
          <w:rFonts w:ascii="Arial" w:hAnsi="Arial"/>
          <w:sz w:val="22"/>
        </w:rPr>
        <w:t>,</w:t>
      </w:r>
      <w:r>
        <w:rPr>
          <w:rFonts w:ascii="Arial" w:hAnsi="Arial"/>
          <w:sz w:val="22"/>
        </w:rPr>
        <w:t>” or “in appropriate” for each indication, in accordance with panelists’ median rating and level of disagreement.</w:t>
      </w:r>
    </w:p>
    <w:p w:rsidR="007051AF" w:rsidRDefault="007051AF" w:rsidP="00423BA8">
      <w:pPr>
        <w:spacing w:after="120" w:line="240" w:lineRule="exact"/>
        <w:jc w:val="both"/>
        <w:rPr>
          <w:rFonts w:ascii="Arial" w:hAnsi="Arial" w:cs="Arial"/>
          <w:sz w:val="22"/>
        </w:rPr>
      </w:pPr>
      <w:r>
        <w:rPr>
          <w:rFonts w:ascii="Arial" w:hAnsi="Arial" w:cs="Arial"/>
          <w:sz w:val="22"/>
        </w:rPr>
        <w:t>The specific activities and workflow detailed in previous sections were designed to support a modified versio</w:t>
      </w:r>
      <w:r w:rsidR="006846CE">
        <w:rPr>
          <w:rFonts w:ascii="Arial" w:hAnsi="Arial" w:cs="Arial"/>
          <w:sz w:val="22"/>
        </w:rPr>
        <w:t>n of the RAM consensus process.</w:t>
      </w:r>
    </w:p>
    <w:p w:rsidR="007051AF" w:rsidRDefault="007051AF" w:rsidP="00423BA8">
      <w:pPr>
        <w:spacing w:after="120" w:line="240" w:lineRule="exact"/>
        <w:jc w:val="both"/>
        <w:rPr>
          <w:rFonts w:ascii="Arial" w:hAnsi="Arial"/>
          <w:sz w:val="22"/>
        </w:rPr>
      </w:pPr>
      <w:r>
        <w:rPr>
          <w:rFonts w:ascii="Arial" w:hAnsi="Arial"/>
          <w:sz w:val="22"/>
        </w:rPr>
        <w:t xml:space="preserve">1) </w:t>
      </w:r>
      <w:r w:rsidRPr="000B4EFF">
        <w:rPr>
          <w:rFonts w:ascii="Arial" w:hAnsi="Arial"/>
          <w:b/>
          <w:sz w:val="22"/>
        </w:rPr>
        <w:t>Literature review and available evidence</w:t>
      </w:r>
      <w:r>
        <w:rPr>
          <w:rFonts w:ascii="Arial" w:hAnsi="Arial"/>
          <w:sz w:val="22"/>
        </w:rPr>
        <w:t>: Working Group/Authors will be carrying out an intensive analysis of the existing literature on their assigned topic</w:t>
      </w:r>
      <w:r w:rsidR="00EC1F9B">
        <w:rPr>
          <w:rFonts w:ascii="Arial" w:hAnsi="Arial"/>
          <w:sz w:val="22"/>
        </w:rPr>
        <w:t xml:space="preserve"> across Working Group Meetings 1-3</w:t>
      </w:r>
      <w:r>
        <w:rPr>
          <w:rFonts w:ascii="Arial" w:hAnsi="Arial"/>
          <w:sz w:val="22"/>
        </w:rPr>
        <w:t xml:space="preserve">, with the results disseminated for consideration and discussion by the larger </w:t>
      </w:r>
      <w:r w:rsidR="006846CE">
        <w:rPr>
          <w:rFonts w:ascii="Arial" w:hAnsi="Arial"/>
          <w:sz w:val="22"/>
        </w:rPr>
        <w:t>g</w:t>
      </w:r>
      <w:r>
        <w:rPr>
          <w:rFonts w:ascii="Arial" w:hAnsi="Arial"/>
          <w:sz w:val="22"/>
        </w:rPr>
        <w:t>roup in the form of presentations and draft manuscripts. The Working Group will also build its knowledge base through expert presentations by special guest speakers. We will be generating additional empirical evidence through our Aim 1 in-depth interviews with thought leaders.</w:t>
      </w:r>
    </w:p>
    <w:p w:rsidR="007051AF" w:rsidRDefault="007051AF" w:rsidP="00423BA8">
      <w:pPr>
        <w:spacing w:after="120" w:line="240" w:lineRule="exact"/>
        <w:jc w:val="both"/>
        <w:rPr>
          <w:rFonts w:ascii="Arial" w:hAnsi="Arial"/>
          <w:sz w:val="22"/>
        </w:rPr>
      </w:pPr>
      <w:r>
        <w:rPr>
          <w:rFonts w:ascii="Arial" w:hAnsi="Arial"/>
          <w:sz w:val="22"/>
        </w:rPr>
        <w:t xml:space="preserve">2) </w:t>
      </w:r>
      <w:r>
        <w:rPr>
          <w:rFonts w:ascii="Arial" w:hAnsi="Arial"/>
          <w:b/>
          <w:sz w:val="22"/>
        </w:rPr>
        <w:t>Scenarios and indications</w:t>
      </w:r>
      <w:r>
        <w:rPr>
          <w:rFonts w:ascii="Arial" w:hAnsi="Arial"/>
          <w:sz w:val="22"/>
        </w:rPr>
        <w:t>: Our draft Aim 1 interview guide provides an example of a multi-faceted scenario designed to raise key ELSI issues and allow exploration of pivotal factors</w:t>
      </w:r>
      <w:r w:rsidR="00F91F79">
        <w:rPr>
          <w:rFonts w:ascii="Arial" w:hAnsi="Arial"/>
          <w:sz w:val="22"/>
        </w:rPr>
        <w:t>,</w:t>
      </w:r>
      <w:r>
        <w:rPr>
          <w:rFonts w:ascii="Arial" w:hAnsi="Arial"/>
          <w:sz w:val="22"/>
        </w:rPr>
        <w:t xml:space="preserve"> such as type of researcher, type of study, and type of data. This draft scenario will be further developed by the Working Group, and the issues it raises illuminated by the interviewees. This rich foundation will enable us to produce a matrix of indications and potential policy interventions.</w:t>
      </w:r>
    </w:p>
    <w:p w:rsidR="007051AF" w:rsidRDefault="007051AF" w:rsidP="00423BA8">
      <w:pPr>
        <w:spacing w:after="120" w:line="240" w:lineRule="exact"/>
        <w:jc w:val="both"/>
        <w:rPr>
          <w:rFonts w:ascii="Arial" w:hAnsi="Arial"/>
          <w:sz w:val="22"/>
        </w:rPr>
      </w:pPr>
      <w:r>
        <w:rPr>
          <w:rFonts w:ascii="Arial" w:hAnsi="Arial"/>
          <w:sz w:val="22"/>
        </w:rPr>
        <w:t xml:space="preserve">3) </w:t>
      </w:r>
      <w:r>
        <w:rPr>
          <w:rFonts w:ascii="Arial" w:hAnsi="Arial"/>
          <w:b/>
          <w:sz w:val="22"/>
        </w:rPr>
        <w:t>Expert panel ratings</w:t>
      </w:r>
      <w:r>
        <w:rPr>
          <w:rFonts w:ascii="Arial" w:hAnsi="Arial"/>
          <w:sz w:val="22"/>
        </w:rPr>
        <w:t>: Working Group members will serve as our expert panel, bringing not only their own expertise</w:t>
      </w:r>
      <w:r w:rsidR="006846CE">
        <w:rPr>
          <w:rFonts w:ascii="Arial" w:hAnsi="Arial"/>
          <w:sz w:val="22"/>
        </w:rPr>
        <w:t>,</w:t>
      </w:r>
      <w:r>
        <w:rPr>
          <w:rFonts w:ascii="Arial" w:hAnsi="Arial"/>
          <w:sz w:val="22"/>
        </w:rPr>
        <w:t xml:space="preserve"> but perspectives gained through engagement in the Working Group meetings and process. Prior to Meeting #4, members will be asked to rate the policy intervention for each indication in the matrix, considering both the benefits and potential harms. Ratings will be on a 5-point scale ranging from Strongly Oppose</w:t>
      </w:r>
      <w:r w:rsidRPr="00396640">
        <w:rPr>
          <w:rFonts w:ascii="Arial" w:hAnsi="Arial"/>
          <w:sz w:val="22"/>
        </w:rPr>
        <w:sym w:font="Wingdings" w:char="F0E0"/>
      </w:r>
      <w:r>
        <w:rPr>
          <w:rFonts w:ascii="Arial" w:hAnsi="Arial"/>
          <w:sz w:val="22"/>
        </w:rPr>
        <w:t xml:space="preserve">Strongly Support. The research team will tally these initial results and prepare a document </w:t>
      </w:r>
      <w:r>
        <w:rPr>
          <w:rFonts w:ascii="Arial" w:hAnsi="Arial"/>
          <w:sz w:val="22"/>
        </w:rPr>
        <w:lastRenderedPageBreak/>
        <w:t xml:space="preserve">summarizing the median and dispersion of each rating. We will prepare a customized version for each Working Group member that overlays his/her individual ratings on the aggregate results. </w:t>
      </w:r>
    </w:p>
    <w:p w:rsidR="007051AF" w:rsidRDefault="007051AF" w:rsidP="00423BA8">
      <w:pPr>
        <w:spacing w:after="120" w:line="240" w:lineRule="exact"/>
        <w:jc w:val="both"/>
        <w:rPr>
          <w:rFonts w:ascii="Arial" w:hAnsi="Arial"/>
          <w:sz w:val="22"/>
        </w:rPr>
      </w:pPr>
      <w:r>
        <w:rPr>
          <w:rFonts w:ascii="Arial" w:hAnsi="Arial"/>
          <w:sz w:val="22"/>
        </w:rPr>
        <w:t xml:space="preserve">4) </w:t>
      </w:r>
      <w:r>
        <w:rPr>
          <w:rFonts w:ascii="Arial" w:hAnsi="Arial"/>
          <w:b/>
          <w:sz w:val="22"/>
        </w:rPr>
        <w:t>In-person discussion</w:t>
      </w:r>
      <w:r>
        <w:rPr>
          <w:rFonts w:ascii="Arial" w:hAnsi="Arial"/>
          <w:sz w:val="22"/>
        </w:rPr>
        <w:t>: During Meeting #4, the P</w:t>
      </w:r>
      <w:r w:rsidR="006846CE">
        <w:rPr>
          <w:rFonts w:ascii="Arial" w:hAnsi="Arial"/>
          <w:sz w:val="22"/>
        </w:rPr>
        <w:t>D</w:t>
      </w:r>
      <w:r>
        <w:rPr>
          <w:rFonts w:ascii="Arial" w:hAnsi="Arial"/>
          <w:sz w:val="22"/>
        </w:rPr>
        <w:t>/P</w:t>
      </w:r>
      <w:r w:rsidR="006846CE">
        <w:rPr>
          <w:rFonts w:ascii="Arial" w:hAnsi="Arial"/>
          <w:sz w:val="22"/>
        </w:rPr>
        <w:t>I</w:t>
      </w:r>
      <w:r>
        <w:rPr>
          <w:rFonts w:ascii="Arial" w:hAnsi="Arial"/>
          <w:sz w:val="22"/>
        </w:rPr>
        <w:t>s will moderate a structured discussion of the Group’s ratings for each indication. In particular, this meeting will focus on deliberation and exchange of ideas concerning areas of disagreement in initial ratings, as indicated by polarization at either end of the rating scale, or ratings spread over the entirety of the scale.</w:t>
      </w:r>
    </w:p>
    <w:p w:rsidR="007051AF" w:rsidRDefault="007051AF" w:rsidP="00423BA8">
      <w:pPr>
        <w:spacing w:after="120" w:line="240" w:lineRule="exact"/>
        <w:jc w:val="both"/>
        <w:rPr>
          <w:rFonts w:ascii="Arial" w:hAnsi="Arial"/>
          <w:sz w:val="22"/>
        </w:rPr>
      </w:pPr>
      <w:r>
        <w:rPr>
          <w:rFonts w:ascii="Arial" w:hAnsi="Arial"/>
          <w:sz w:val="22"/>
        </w:rPr>
        <w:t xml:space="preserve">5) </w:t>
      </w:r>
      <w:r>
        <w:rPr>
          <w:rFonts w:ascii="Arial" w:hAnsi="Arial"/>
          <w:b/>
          <w:sz w:val="22"/>
        </w:rPr>
        <w:t>Ratings revision</w:t>
      </w:r>
      <w:r>
        <w:rPr>
          <w:rFonts w:ascii="Arial" w:hAnsi="Arial"/>
          <w:sz w:val="22"/>
        </w:rPr>
        <w:t>: Near the end of Meeting #4, we will provide Working Group members the opportunity to revise their ratings for each indication—with no attempt to force consensus, but rather to identify areas of agreement, minority opinions, and remaining disagreement.</w:t>
      </w:r>
    </w:p>
    <w:p w:rsidR="007051AF" w:rsidRPr="00440B6A" w:rsidRDefault="007051AF" w:rsidP="00423BA8">
      <w:pPr>
        <w:spacing w:after="120" w:line="240" w:lineRule="exact"/>
        <w:jc w:val="both"/>
        <w:rPr>
          <w:rFonts w:ascii="Arial" w:hAnsi="Arial"/>
          <w:sz w:val="22"/>
        </w:rPr>
      </w:pPr>
      <w:r>
        <w:rPr>
          <w:rFonts w:ascii="Arial" w:hAnsi="Arial"/>
          <w:sz w:val="22"/>
        </w:rPr>
        <w:t xml:space="preserve">6) </w:t>
      </w:r>
      <w:r w:rsidRPr="00292AAB">
        <w:rPr>
          <w:rFonts w:ascii="Arial" w:hAnsi="Arial"/>
          <w:b/>
          <w:sz w:val="22"/>
        </w:rPr>
        <w:t>Classification of interventions</w:t>
      </w:r>
      <w:r w:rsidRPr="00833848">
        <w:rPr>
          <w:rFonts w:ascii="Arial" w:hAnsi="Arial"/>
          <w:sz w:val="22"/>
        </w:rPr>
        <w:t xml:space="preserve">: </w:t>
      </w:r>
      <w:r>
        <w:rPr>
          <w:rFonts w:ascii="Arial" w:hAnsi="Arial"/>
          <w:sz w:val="22"/>
        </w:rPr>
        <w:t>Following Meeting #4, the research team will tally the final results and classify each policy intervention as “supported</w:t>
      </w:r>
      <w:r w:rsidR="00F91F79">
        <w:rPr>
          <w:rFonts w:ascii="Arial" w:hAnsi="Arial"/>
          <w:sz w:val="22"/>
        </w:rPr>
        <w:t>,</w:t>
      </w:r>
      <w:r>
        <w:rPr>
          <w:rFonts w:ascii="Arial" w:hAnsi="Arial"/>
          <w:sz w:val="22"/>
        </w:rPr>
        <w:t>” “uncertain</w:t>
      </w:r>
      <w:r w:rsidR="00F91F79">
        <w:rPr>
          <w:rFonts w:ascii="Arial" w:hAnsi="Arial"/>
          <w:sz w:val="22"/>
        </w:rPr>
        <w:t>,</w:t>
      </w:r>
      <w:r>
        <w:rPr>
          <w:rFonts w:ascii="Arial" w:hAnsi="Arial"/>
          <w:sz w:val="22"/>
        </w:rPr>
        <w:t>” or “not supported” for each indication. These results will be integral to and reported in the Working Group’s policy recommendations paper</w:t>
      </w:r>
      <w:r w:rsidR="00EC1F9B">
        <w:rPr>
          <w:rFonts w:ascii="Arial" w:hAnsi="Arial"/>
          <w:sz w:val="22"/>
        </w:rPr>
        <w:t>s</w:t>
      </w:r>
      <w:r>
        <w:rPr>
          <w:rFonts w:ascii="Arial" w:hAnsi="Arial"/>
          <w:sz w:val="22"/>
        </w:rPr>
        <w:t>.</w:t>
      </w:r>
    </w:p>
    <w:p w:rsidR="00E06A69" w:rsidRDefault="00570D5B" w:rsidP="00423BA8">
      <w:pPr>
        <w:spacing w:after="120" w:line="240" w:lineRule="exact"/>
        <w:jc w:val="both"/>
        <w:rPr>
          <w:rFonts w:ascii="Arial" w:hAnsi="Arial"/>
          <w:sz w:val="22"/>
        </w:rPr>
      </w:pPr>
      <w:r>
        <w:rPr>
          <w:rFonts w:ascii="Arial" w:hAnsi="Arial"/>
          <w:sz w:val="22"/>
        </w:rPr>
        <w:t xml:space="preserve">Following Working Group meeting #4, all authors will have </w:t>
      </w:r>
      <w:r w:rsidR="00D24B1A">
        <w:rPr>
          <w:rFonts w:ascii="Arial" w:hAnsi="Arial"/>
          <w:sz w:val="22"/>
        </w:rPr>
        <w:t xml:space="preserve">an additional 6 months </w:t>
      </w:r>
      <w:r>
        <w:rPr>
          <w:rFonts w:ascii="Arial" w:hAnsi="Arial"/>
          <w:sz w:val="22"/>
        </w:rPr>
        <w:t xml:space="preserve">to revise their final articles. </w:t>
      </w:r>
      <w:r w:rsidR="00E06A69">
        <w:rPr>
          <w:rFonts w:ascii="Arial" w:hAnsi="Arial"/>
          <w:sz w:val="22"/>
        </w:rPr>
        <w:t xml:space="preserve">The articles will reflect the many disciplines of the participating authors. PD/PI </w:t>
      </w:r>
      <w:r w:rsidR="004A7445">
        <w:rPr>
          <w:rFonts w:ascii="Arial" w:hAnsi="Arial"/>
          <w:sz w:val="22"/>
        </w:rPr>
        <w:t xml:space="preserve">Mark A. Rothstein </w:t>
      </w:r>
      <w:r w:rsidR="00E06A69">
        <w:rPr>
          <w:rFonts w:ascii="Arial" w:hAnsi="Arial"/>
          <w:sz w:val="22"/>
        </w:rPr>
        <w:t>will also draft an article t</w:t>
      </w:r>
      <w:r w:rsidR="004A7445">
        <w:rPr>
          <w:rFonts w:ascii="Arial" w:hAnsi="Arial"/>
          <w:sz w:val="22"/>
        </w:rPr>
        <w:t>o</w:t>
      </w:r>
      <w:r w:rsidR="00E06A69">
        <w:rPr>
          <w:rFonts w:ascii="Arial" w:hAnsi="Arial"/>
          <w:sz w:val="22"/>
        </w:rPr>
        <w:t xml:space="preserve"> serve as a summary </w:t>
      </w:r>
      <w:r w:rsidR="004A7445">
        <w:rPr>
          <w:rFonts w:ascii="Arial" w:hAnsi="Arial"/>
          <w:sz w:val="22"/>
        </w:rPr>
        <w:t xml:space="preserve">of the other articles </w:t>
      </w:r>
      <w:r w:rsidR="00E06A69">
        <w:rPr>
          <w:rFonts w:ascii="Arial" w:hAnsi="Arial"/>
          <w:sz w:val="22"/>
        </w:rPr>
        <w:t xml:space="preserve">and </w:t>
      </w:r>
      <w:r w:rsidR="004A7445">
        <w:rPr>
          <w:rFonts w:ascii="Arial" w:hAnsi="Arial"/>
          <w:sz w:val="22"/>
        </w:rPr>
        <w:t>present</w:t>
      </w:r>
      <w:r w:rsidR="00E06A69">
        <w:rPr>
          <w:rFonts w:ascii="Arial" w:hAnsi="Arial"/>
          <w:sz w:val="22"/>
        </w:rPr>
        <w:t xml:space="preserve"> the recommendations. This concluding article, as well as the other articles, will focus on ethics, law, and policy. In drafting the legal recommendations the PD/PI will </w:t>
      </w:r>
      <w:r w:rsidR="004A7445">
        <w:rPr>
          <w:rFonts w:ascii="Arial" w:hAnsi="Arial"/>
          <w:sz w:val="22"/>
        </w:rPr>
        <w:t xml:space="preserve">analyze federal and state statutes, federal regulations, </w:t>
      </w:r>
      <w:r w:rsidR="00D24B1A">
        <w:rPr>
          <w:rFonts w:ascii="Arial" w:hAnsi="Arial"/>
          <w:sz w:val="22"/>
        </w:rPr>
        <w:t>judicial decisions</w:t>
      </w:r>
      <w:r w:rsidR="004A7445">
        <w:rPr>
          <w:rFonts w:ascii="Arial" w:hAnsi="Arial"/>
          <w:sz w:val="22"/>
        </w:rPr>
        <w:t>, and the legal literature. The research will utilize both print an</w:t>
      </w:r>
      <w:r w:rsidR="00A61FB6">
        <w:rPr>
          <w:rFonts w:ascii="Arial" w:hAnsi="Arial"/>
          <w:sz w:val="22"/>
        </w:rPr>
        <w:t>d online sources, including LEXI</w:t>
      </w:r>
      <w:r w:rsidR="004A7445">
        <w:rPr>
          <w:rFonts w:ascii="Arial" w:hAnsi="Arial"/>
          <w:sz w:val="22"/>
        </w:rPr>
        <w:t>S</w:t>
      </w:r>
      <w:r w:rsidR="00F55B20">
        <w:rPr>
          <w:rFonts w:ascii="Arial" w:hAnsi="Arial"/>
          <w:sz w:val="22"/>
        </w:rPr>
        <w:t>/NEXIS</w:t>
      </w:r>
      <w:r w:rsidR="004A7445">
        <w:rPr>
          <w:rFonts w:ascii="Arial" w:hAnsi="Arial"/>
          <w:sz w:val="22"/>
        </w:rPr>
        <w:t xml:space="preserve"> and WESTLAW. The PD/PI has a</w:t>
      </w:r>
      <w:r w:rsidR="00A61FB6">
        <w:rPr>
          <w:rFonts w:ascii="Arial" w:hAnsi="Arial"/>
          <w:sz w:val="22"/>
        </w:rPr>
        <w:t>n extensive</w:t>
      </w:r>
      <w:r w:rsidR="004A7445">
        <w:rPr>
          <w:rFonts w:ascii="Arial" w:hAnsi="Arial"/>
          <w:sz w:val="22"/>
        </w:rPr>
        <w:t xml:space="preserve"> record of writing </w:t>
      </w:r>
      <w:r w:rsidR="003079C2">
        <w:rPr>
          <w:rFonts w:ascii="Arial" w:hAnsi="Arial"/>
          <w:sz w:val="22"/>
        </w:rPr>
        <w:t>influential</w:t>
      </w:r>
      <w:r w:rsidR="008807B1">
        <w:rPr>
          <w:rFonts w:ascii="Arial" w:hAnsi="Arial"/>
          <w:sz w:val="22"/>
        </w:rPr>
        <w:t xml:space="preserve">, </w:t>
      </w:r>
      <w:r w:rsidR="004A7445">
        <w:rPr>
          <w:rFonts w:ascii="Arial" w:hAnsi="Arial"/>
          <w:sz w:val="22"/>
        </w:rPr>
        <w:t xml:space="preserve">concluding articles/chapters </w:t>
      </w:r>
      <w:r w:rsidR="00A61FB6">
        <w:rPr>
          <w:rFonts w:ascii="Arial" w:hAnsi="Arial"/>
          <w:sz w:val="22"/>
        </w:rPr>
        <w:t>containing</w:t>
      </w:r>
      <w:r w:rsidR="004A7445">
        <w:rPr>
          <w:rFonts w:ascii="Arial" w:hAnsi="Arial"/>
          <w:sz w:val="22"/>
        </w:rPr>
        <w:t xml:space="preserve"> recommendations</w:t>
      </w:r>
      <w:r w:rsidR="00A61FB6">
        <w:rPr>
          <w:rFonts w:ascii="Arial" w:hAnsi="Arial"/>
          <w:sz w:val="22"/>
        </w:rPr>
        <w:t xml:space="preserve"> from diverse groups of experts</w:t>
      </w:r>
      <w:r w:rsidR="004A7445">
        <w:rPr>
          <w:rFonts w:ascii="Arial" w:hAnsi="Arial"/>
          <w:sz w:val="22"/>
        </w:rPr>
        <w:t xml:space="preserve">. Examples include </w:t>
      </w:r>
      <w:r w:rsidR="008807B1">
        <w:rPr>
          <w:rFonts w:ascii="Arial" w:hAnsi="Arial"/>
          <w:sz w:val="22"/>
        </w:rPr>
        <w:t>"</w:t>
      </w:r>
      <w:r w:rsidR="004A7445">
        <w:rPr>
          <w:rFonts w:ascii="Arial" w:hAnsi="Arial"/>
          <w:sz w:val="22"/>
        </w:rPr>
        <w:t>Genetic Secrets: A Policy Framework</w:t>
      </w:r>
      <w:r w:rsidR="008807B1">
        <w:rPr>
          <w:rFonts w:ascii="Arial" w:hAnsi="Arial"/>
          <w:sz w:val="22"/>
        </w:rPr>
        <w:t>"</w:t>
      </w:r>
      <w:r w:rsidR="00D24B1A">
        <w:rPr>
          <w:rFonts w:ascii="Arial" w:hAnsi="Arial"/>
          <w:sz w:val="22"/>
        </w:rPr>
        <w:t xml:space="preserve"> (genetic privacy)</w:t>
      </w:r>
      <w:r w:rsidR="004A7445">
        <w:rPr>
          <w:rFonts w:ascii="Arial" w:hAnsi="Arial"/>
          <w:sz w:val="22"/>
        </w:rPr>
        <w:t>;</w:t>
      </w:r>
      <w:r w:rsidR="004A7445">
        <w:rPr>
          <w:rStyle w:val="EndnoteReference"/>
          <w:rFonts w:ascii="Arial" w:hAnsi="Arial"/>
          <w:sz w:val="22"/>
        </w:rPr>
        <w:endnoteReference w:id="58"/>
      </w:r>
      <w:r w:rsidR="00E06A69">
        <w:rPr>
          <w:rFonts w:ascii="Arial" w:hAnsi="Arial"/>
          <w:sz w:val="22"/>
        </w:rPr>
        <w:t xml:space="preserve"> </w:t>
      </w:r>
      <w:r w:rsidR="008807B1">
        <w:rPr>
          <w:rFonts w:ascii="Arial" w:hAnsi="Arial"/>
          <w:sz w:val="22"/>
        </w:rPr>
        <w:t>"</w:t>
      </w:r>
      <w:r w:rsidR="004A7445">
        <w:rPr>
          <w:rFonts w:ascii="Arial" w:hAnsi="Arial"/>
          <w:sz w:val="22"/>
        </w:rPr>
        <w:t>Epilogue: Policy Prescriptions</w:t>
      </w:r>
      <w:r w:rsidR="008807B1">
        <w:rPr>
          <w:rFonts w:ascii="Arial" w:hAnsi="Arial"/>
          <w:sz w:val="22"/>
        </w:rPr>
        <w:t>"</w:t>
      </w:r>
      <w:r w:rsidR="00D24B1A">
        <w:rPr>
          <w:rFonts w:ascii="Arial" w:hAnsi="Arial"/>
          <w:sz w:val="22"/>
        </w:rPr>
        <w:t xml:space="preserve"> (pharmacogenomics)</w:t>
      </w:r>
      <w:r w:rsidR="004A7445">
        <w:rPr>
          <w:rFonts w:ascii="Arial" w:hAnsi="Arial"/>
          <w:sz w:val="22"/>
        </w:rPr>
        <w:t>;</w:t>
      </w:r>
      <w:r w:rsidR="004A7445">
        <w:rPr>
          <w:rStyle w:val="EndnoteReference"/>
          <w:rFonts w:ascii="Arial" w:hAnsi="Arial"/>
          <w:sz w:val="22"/>
        </w:rPr>
        <w:endnoteReference w:id="59"/>
      </w:r>
      <w:r w:rsidR="002D2405">
        <w:rPr>
          <w:rFonts w:ascii="Arial" w:hAnsi="Arial"/>
          <w:sz w:val="22"/>
        </w:rPr>
        <w:t xml:space="preserve"> </w:t>
      </w:r>
      <w:r w:rsidR="008807B1">
        <w:rPr>
          <w:rFonts w:ascii="Arial" w:hAnsi="Arial"/>
          <w:sz w:val="22"/>
        </w:rPr>
        <w:t>"</w:t>
      </w:r>
      <w:r w:rsidR="002D2405">
        <w:rPr>
          <w:rFonts w:ascii="Arial" w:hAnsi="Arial"/>
          <w:sz w:val="22"/>
        </w:rPr>
        <w:t>Policy Recommendations</w:t>
      </w:r>
      <w:r w:rsidR="008807B1">
        <w:rPr>
          <w:rFonts w:ascii="Arial" w:hAnsi="Arial"/>
          <w:sz w:val="22"/>
        </w:rPr>
        <w:t>"</w:t>
      </w:r>
      <w:r w:rsidR="00D24B1A">
        <w:rPr>
          <w:rFonts w:ascii="Arial" w:hAnsi="Arial"/>
          <w:sz w:val="22"/>
        </w:rPr>
        <w:t xml:space="preserve"> (genetics and life insurance)</w:t>
      </w:r>
      <w:r w:rsidR="002D2405">
        <w:rPr>
          <w:rFonts w:ascii="Arial" w:hAnsi="Arial"/>
          <w:sz w:val="22"/>
        </w:rPr>
        <w:t>;</w:t>
      </w:r>
      <w:r w:rsidR="002D2405">
        <w:rPr>
          <w:rStyle w:val="EndnoteReference"/>
          <w:rFonts w:ascii="Arial" w:hAnsi="Arial"/>
          <w:sz w:val="22"/>
        </w:rPr>
        <w:endnoteReference w:id="60"/>
      </w:r>
      <w:r w:rsidR="002D2405">
        <w:rPr>
          <w:rFonts w:ascii="Arial" w:hAnsi="Arial"/>
          <w:sz w:val="22"/>
        </w:rPr>
        <w:t xml:space="preserve"> and </w:t>
      </w:r>
      <w:r w:rsidR="008807B1">
        <w:rPr>
          <w:rFonts w:ascii="Arial" w:hAnsi="Arial"/>
          <w:sz w:val="22"/>
        </w:rPr>
        <w:t>"</w:t>
      </w:r>
      <w:r w:rsidR="002D2405">
        <w:rPr>
          <w:rFonts w:ascii="Arial" w:hAnsi="Arial"/>
          <w:sz w:val="22"/>
        </w:rPr>
        <w:t>Translating Values and Interests into the Law of Parentage Determination</w:t>
      </w:r>
      <w:r w:rsidR="00D24B1A">
        <w:rPr>
          <w:rFonts w:ascii="Arial" w:hAnsi="Arial"/>
          <w:sz w:val="22"/>
        </w:rPr>
        <w:t xml:space="preserve"> (DNA paternity testing)</w:t>
      </w:r>
      <w:r w:rsidR="002D2405">
        <w:rPr>
          <w:rFonts w:ascii="Arial" w:hAnsi="Arial"/>
          <w:sz w:val="22"/>
        </w:rPr>
        <w:t>.</w:t>
      </w:r>
      <w:r w:rsidR="008807B1">
        <w:rPr>
          <w:rFonts w:ascii="Arial" w:hAnsi="Arial"/>
          <w:sz w:val="22"/>
        </w:rPr>
        <w:t>"</w:t>
      </w:r>
      <w:r w:rsidR="002D2405">
        <w:rPr>
          <w:rStyle w:val="EndnoteReference"/>
          <w:rFonts w:ascii="Arial" w:hAnsi="Arial"/>
          <w:sz w:val="22"/>
        </w:rPr>
        <w:endnoteReference w:id="61"/>
      </w:r>
      <w:r w:rsidR="002D2405">
        <w:rPr>
          <w:rFonts w:ascii="Arial" w:hAnsi="Arial"/>
          <w:sz w:val="22"/>
        </w:rPr>
        <w:t xml:space="preserve"> Most recently,</w:t>
      </w:r>
      <w:r w:rsidR="008807B1">
        <w:rPr>
          <w:rFonts w:ascii="Arial" w:hAnsi="Arial"/>
          <w:sz w:val="22"/>
        </w:rPr>
        <w:t xml:space="preserve"> he was lead author of "Comparative App</w:t>
      </w:r>
      <w:r w:rsidR="00CF357E">
        <w:rPr>
          <w:rFonts w:ascii="Arial" w:hAnsi="Arial"/>
          <w:sz w:val="22"/>
        </w:rPr>
        <w:t>roaches to Biobanks and Privacy</w:t>
      </w:r>
      <w:r w:rsidR="008807B1">
        <w:rPr>
          <w:rFonts w:ascii="Arial" w:hAnsi="Arial"/>
          <w:sz w:val="22"/>
        </w:rPr>
        <w:t>"</w:t>
      </w:r>
      <w:r w:rsidR="00CF357E">
        <w:rPr>
          <w:rFonts w:ascii="Arial" w:hAnsi="Arial"/>
          <w:sz w:val="22"/>
        </w:rPr>
        <w:t xml:space="preserve"> (international biobank research).</w:t>
      </w:r>
      <w:r w:rsidR="008807B1">
        <w:rPr>
          <w:rStyle w:val="EndnoteReference"/>
          <w:rFonts w:ascii="Arial" w:hAnsi="Arial"/>
          <w:sz w:val="22"/>
        </w:rPr>
        <w:endnoteReference w:id="62"/>
      </w:r>
      <w:r w:rsidR="002D2405">
        <w:rPr>
          <w:rFonts w:ascii="Arial" w:hAnsi="Arial"/>
          <w:sz w:val="22"/>
        </w:rPr>
        <w:t xml:space="preserve"> </w:t>
      </w:r>
      <w:r w:rsidR="008807B1">
        <w:rPr>
          <w:rFonts w:ascii="Arial" w:hAnsi="Arial"/>
          <w:sz w:val="22"/>
        </w:rPr>
        <w:t xml:space="preserve">The </w:t>
      </w:r>
      <w:r w:rsidR="00D24B1A">
        <w:rPr>
          <w:rFonts w:ascii="Arial" w:hAnsi="Arial"/>
          <w:sz w:val="22"/>
        </w:rPr>
        <w:t>genetic privacy research</w:t>
      </w:r>
      <w:r w:rsidR="008807B1">
        <w:rPr>
          <w:rFonts w:ascii="Arial" w:hAnsi="Arial"/>
          <w:sz w:val="22"/>
        </w:rPr>
        <w:t xml:space="preserve"> was funded by a grant from the Department of Energy and the other </w:t>
      </w:r>
      <w:r w:rsidR="00D24B1A">
        <w:rPr>
          <w:rFonts w:ascii="Arial" w:hAnsi="Arial"/>
          <w:sz w:val="22"/>
        </w:rPr>
        <w:t xml:space="preserve">research </w:t>
      </w:r>
      <w:r w:rsidR="008807B1">
        <w:rPr>
          <w:rFonts w:ascii="Arial" w:hAnsi="Arial"/>
          <w:sz w:val="22"/>
        </w:rPr>
        <w:t>by grants from the NIH.</w:t>
      </w:r>
    </w:p>
    <w:p w:rsidR="00570D5B" w:rsidRDefault="00570D5B" w:rsidP="004274B9">
      <w:pPr>
        <w:spacing w:before="120" w:after="60" w:line="220" w:lineRule="exact"/>
        <w:rPr>
          <w:rFonts w:ascii="Arial" w:hAnsi="Arial"/>
          <w:b/>
          <w:sz w:val="22"/>
        </w:rPr>
      </w:pPr>
      <w:r>
        <w:rPr>
          <w:rFonts w:ascii="Arial" w:hAnsi="Arial"/>
          <w:b/>
          <w:sz w:val="22"/>
        </w:rPr>
        <w:t xml:space="preserve">Aim 3: </w:t>
      </w:r>
      <w:r w:rsidR="00DF222A">
        <w:rPr>
          <w:rFonts w:ascii="Arial" w:hAnsi="Arial"/>
          <w:b/>
          <w:sz w:val="22"/>
        </w:rPr>
        <w:t xml:space="preserve">Educational </w:t>
      </w:r>
      <w:r>
        <w:rPr>
          <w:rFonts w:ascii="Arial" w:hAnsi="Arial"/>
          <w:b/>
          <w:sz w:val="22"/>
        </w:rPr>
        <w:t xml:space="preserve">programs and </w:t>
      </w:r>
      <w:r w:rsidR="00DF222A">
        <w:rPr>
          <w:rFonts w:ascii="Arial" w:hAnsi="Arial"/>
          <w:b/>
          <w:sz w:val="22"/>
        </w:rPr>
        <w:t xml:space="preserve">translation of </w:t>
      </w:r>
      <w:r>
        <w:rPr>
          <w:rFonts w:ascii="Arial" w:hAnsi="Arial"/>
          <w:b/>
          <w:sz w:val="22"/>
        </w:rPr>
        <w:t>re</w:t>
      </w:r>
      <w:r w:rsidR="00DF222A">
        <w:rPr>
          <w:rFonts w:ascii="Arial" w:hAnsi="Arial"/>
          <w:b/>
          <w:sz w:val="22"/>
        </w:rPr>
        <w:t>commendation</w:t>
      </w:r>
      <w:r>
        <w:rPr>
          <w:rFonts w:ascii="Arial" w:hAnsi="Arial"/>
          <w:b/>
          <w:sz w:val="22"/>
        </w:rPr>
        <w:t>s.</w:t>
      </w:r>
    </w:p>
    <w:p w:rsidR="00E54F7A" w:rsidRDefault="00E54F7A" w:rsidP="00423BA8">
      <w:pPr>
        <w:spacing w:after="120" w:line="240" w:lineRule="exact"/>
        <w:jc w:val="both"/>
        <w:rPr>
          <w:rFonts w:ascii="Arial" w:hAnsi="Arial"/>
          <w:sz w:val="22"/>
        </w:rPr>
      </w:pPr>
      <w:r>
        <w:rPr>
          <w:rFonts w:ascii="Arial" w:hAnsi="Arial"/>
          <w:b/>
          <w:sz w:val="22"/>
        </w:rPr>
        <w:t xml:space="preserve">Sub-aim 3-1: </w:t>
      </w:r>
      <w:r w:rsidR="007277E9">
        <w:rPr>
          <w:rFonts w:ascii="Arial" w:hAnsi="Arial"/>
          <w:i/>
          <w:sz w:val="22"/>
        </w:rPr>
        <w:t>App developer w</w:t>
      </w:r>
      <w:r w:rsidRPr="00A86816">
        <w:rPr>
          <w:rFonts w:ascii="Arial" w:hAnsi="Arial"/>
          <w:i/>
          <w:sz w:val="22"/>
        </w:rPr>
        <w:t>orkshops and videos</w:t>
      </w:r>
      <w:r w:rsidR="00A86816">
        <w:rPr>
          <w:rFonts w:ascii="Arial" w:hAnsi="Arial"/>
          <w:sz w:val="22"/>
        </w:rPr>
        <w:t>.</w:t>
      </w:r>
      <w:r w:rsidR="00092E3D">
        <w:rPr>
          <w:rFonts w:ascii="Arial" w:hAnsi="Arial"/>
          <w:sz w:val="22"/>
        </w:rPr>
        <w:t xml:space="preserve"> To achieve a real-world impact, ELSI frameworks developed by the Working Group must gain traction in the software developer culture. Accordingly, we will hold two half-day app developer workshops in the app developer "hubs" of New York City and San Francisco. The workshops will explain and promote key principles of research ethics as well as highlight existing toolkits and resources that enable app developers to integrate protections for the welfare of research participants into their coding practices. </w:t>
      </w:r>
      <w:r w:rsidR="00232A1A">
        <w:rPr>
          <w:rFonts w:ascii="Arial" w:hAnsi="Arial"/>
          <w:sz w:val="22"/>
        </w:rPr>
        <w:t>We will recruit app developers through our strong connections to developer groups like Sensored and</w:t>
      </w:r>
      <w:r w:rsidR="00092E3D">
        <w:rPr>
          <w:rFonts w:ascii="Arial" w:hAnsi="Arial"/>
          <w:sz w:val="22"/>
        </w:rPr>
        <w:t xml:space="preserve"> </w:t>
      </w:r>
      <w:r w:rsidR="00232A1A">
        <w:rPr>
          <w:rFonts w:ascii="Arial" w:hAnsi="Arial"/>
          <w:sz w:val="22"/>
        </w:rPr>
        <w:t xml:space="preserve">Quantified Self meet ups, as well as through developer lists for ResearchKit, ResearchStack, and Open mHealth. We will also recruit co-sponsors local to New York and San Francisco to leverage their developer networks and recruit attendees. </w:t>
      </w:r>
      <w:r w:rsidR="00092E3D">
        <w:rPr>
          <w:rFonts w:ascii="Arial" w:hAnsi="Arial"/>
          <w:sz w:val="22"/>
        </w:rPr>
        <w:t xml:space="preserve">The workshops will serve to catalyze best practices in a pragmatic way. Videos and other materials developed at the workshops will be placed online under liberal copyright licenses to facilitate redistribution </w:t>
      </w:r>
      <w:r w:rsidR="00BA50D6">
        <w:rPr>
          <w:rFonts w:ascii="Arial" w:hAnsi="Arial"/>
          <w:sz w:val="22"/>
        </w:rPr>
        <w:t xml:space="preserve">and integration </w:t>
      </w:r>
      <w:r w:rsidR="00092E3D">
        <w:rPr>
          <w:rFonts w:ascii="Arial" w:hAnsi="Arial"/>
          <w:sz w:val="22"/>
        </w:rPr>
        <w:t>into other app develop</w:t>
      </w:r>
      <w:r w:rsidR="00BA50D6">
        <w:rPr>
          <w:rFonts w:ascii="Arial" w:hAnsi="Arial"/>
          <w:sz w:val="22"/>
        </w:rPr>
        <w:t>ment frameworks. A summary of workshop topics and speakers follows.</w:t>
      </w:r>
    </w:p>
    <w:tbl>
      <w:tblPr>
        <w:tblStyle w:val="TableGrid"/>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446"/>
        <w:gridCol w:w="2700"/>
        <w:gridCol w:w="3330"/>
      </w:tblGrid>
      <w:tr w:rsidR="000A56AF" w:rsidRPr="000A56AF" w:rsidTr="00A9646E">
        <w:trPr>
          <w:trHeight w:val="534"/>
          <w:jc w:val="center"/>
        </w:trPr>
        <w:tc>
          <w:tcPr>
            <w:tcW w:w="9476" w:type="dxa"/>
            <w:gridSpan w:val="3"/>
            <w:vAlign w:val="center"/>
          </w:tcPr>
          <w:p w:rsidR="000A56AF" w:rsidRPr="000A56AF" w:rsidRDefault="000A56AF" w:rsidP="00A9646E">
            <w:pPr>
              <w:spacing w:line="240" w:lineRule="exact"/>
              <w:jc w:val="center"/>
              <w:rPr>
                <w:rFonts w:ascii="Arial" w:hAnsi="Arial" w:cs="Arial"/>
                <w:sz w:val="20"/>
                <w:szCs w:val="20"/>
              </w:rPr>
            </w:pPr>
            <w:r w:rsidRPr="000A56AF">
              <w:rPr>
                <w:rFonts w:ascii="Arial" w:hAnsi="Arial" w:cs="Arial"/>
                <w:b/>
                <w:sz w:val="20"/>
                <w:szCs w:val="20"/>
              </w:rPr>
              <w:t>App Developer Workshops</w:t>
            </w:r>
            <w:r w:rsidRPr="000A56AF">
              <w:rPr>
                <w:rFonts w:ascii="Arial" w:hAnsi="Arial" w:cs="Arial"/>
                <w:b/>
                <w:sz w:val="20"/>
                <w:szCs w:val="20"/>
              </w:rPr>
              <w:br/>
            </w:r>
            <w:r w:rsidRPr="000A56AF">
              <w:rPr>
                <w:rFonts w:ascii="Arial" w:hAnsi="Arial" w:cs="Arial"/>
                <w:sz w:val="20"/>
                <w:szCs w:val="20"/>
              </w:rPr>
              <w:t>New York City: June 2019 and San Francisco: August 2019</w:t>
            </w:r>
          </w:p>
        </w:tc>
      </w:tr>
      <w:tr w:rsidR="000A56AF" w:rsidTr="00A9646E">
        <w:trPr>
          <w:trHeight w:val="200"/>
          <w:jc w:val="center"/>
        </w:trPr>
        <w:tc>
          <w:tcPr>
            <w:tcW w:w="3446" w:type="dxa"/>
            <w:vAlign w:val="center"/>
          </w:tcPr>
          <w:p w:rsidR="000A56AF" w:rsidRPr="00423BA8" w:rsidRDefault="000A56AF" w:rsidP="005C0704">
            <w:pPr>
              <w:jc w:val="center"/>
              <w:rPr>
                <w:rFonts w:ascii="Arial" w:hAnsi="Arial"/>
                <w:sz w:val="20"/>
                <w:szCs w:val="20"/>
              </w:rPr>
            </w:pPr>
            <w:r w:rsidRPr="00423BA8">
              <w:rPr>
                <w:rFonts w:ascii="Arial" w:hAnsi="Arial" w:cs="Arial"/>
                <w:b/>
                <w:sz w:val="20"/>
                <w:szCs w:val="20"/>
              </w:rPr>
              <w:t>Topic</w:t>
            </w:r>
          </w:p>
        </w:tc>
        <w:tc>
          <w:tcPr>
            <w:tcW w:w="2700" w:type="dxa"/>
            <w:vAlign w:val="center"/>
          </w:tcPr>
          <w:p w:rsidR="000A56AF" w:rsidRPr="00423BA8" w:rsidRDefault="000A56AF" w:rsidP="005C0704">
            <w:pPr>
              <w:jc w:val="center"/>
              <w:rPr>
                <w:rFonts w:ascii="Arial" w:hAnsi="Arial"/>
                <w:sz w:val="20"/>
                <w:szCs w:val="20"/>
              </w:rPr>
            </w:pPr>
            <w:r w:rsidRPr="00423BA8">
              <w:rPr>
                <w:rFonts w:ascii="Arial" w:hAnsi="Arial" w:cs="Arial"/>
                <w:b/>
                <w:sz w:val="20"/>
                <w:szCs w:val="20"/>
              </w:rPr>
              <w:t>Speaker</w:t>
            </w:r>
          </w:p>
        </w:tc>
        <w:tc>
          <w:tcPr>
            <w:tcW w:w="3330" w:type="dxa"/>
            <w:vAlign w:val="center"/>
          </w:tcPr>
          <w:p w:rsidR="000A56AF" w:rsidRPr="00423BA8" w:rsidRDefault="000A56AF" w:rsidP="005C0704">
            <w:pPr>
              <w:jc w:val="center"/>
              <w:rPr>
                <w:rFonts w:ascii="Arial" w:hAnsi="Arial"/>
                <w:sz w:val="20"/>
                <w:szCs w:val="20"/>
              </w:rPr>
            </w:pPr>
            <w:r w:rsidRPr="00423BA8">
              <w:rPr>
                <w:rFonts w:ascii="Arial" w:hAnsi="Arial" w:cs="Arial"/>
                <w:b/>
                <w:sz w:val="20"/>
                <w:szCs w:val="20"/>
              </w:rPr>
              <w:t>Affiliation</w:t>
            </w:r>
          </w:p>
        </w:tc>
      </w:tr>
      <w:tr w:rsidR="003079C2" w:rsidTr="00A9646E">
        <w:trPr>
          <w:trHeight w:val="324"/>
          <w:jc w:val="center"/>
        </w:trPr>
        <w:tc>
          <w:tcPr>
            <w:tcW w:w="3446" w:type="dxa"/>
            <w:vAlign w:val="center"/>
          </w:tcPr>
          <w:p w:rsidR="003079C2" w:rsidRPr="000A56AF" w:rsidRDefault="003079C2" w:rsidP="00BA7D60">
            <w:pPr>
              <w:spacing w:line="240" w:lineRule="exact"/>
              <w:rPr>
                <w:rFonts w:ascii="Arial" w:hAnsi="Arial" w:cs="Arial"/>
                <w:sz w:val="20"/>
                <w:szCs w:val="20"/>
              </w:rPr>
            </w:pPr>
            <w:r w:rsidRPr="000A56AF">
              <w:rPr>
                <w:rFonts w:ascii="Arial" w:hAnsi="Arial" w:cs="Arial"/>
                <w:sz w:val="20"/>
                <w:szCs w:val="20"/>
              </w:rPr>
              <w:t>Intro</w:t>
            </w:r>
            <w:r w:rsidR="00A9646E">
              <w:rPr>
                <w:rFonts w:ascii="Arial" w:hAnsi="Arial" w:cs="Arial"/>
                <w:sz w:val="20"/>
                <w:szCs w:val="20"/>
              </w:rPr>
              <w:t>duction</w:t>
            </w:r>
            <w:r w:rsidRPr="000A56AF">
              <w:rPr>
                <w:rFonts w:ascii="Arial" w:hAnsi="Arial" w:cs="Arial"/>
                <w:sz w:val="20"/>
                <w:szCs w:val="20"/>
              </w:rPr>
              <w:t xml:space="preserve"> to </w:t>
            </w:r>
            <w:r w:rsidR="00BA7D60">
              <w:rPr>
                <w:rFonts w:ascii="Arial" w:hAnsi="Arial" w:cs="Arial"/>
                <w:sz w:val="20"/>
                <w:szCs w:val="20"/>
              </w:rPr>
              <w:t>Research Ethics</w:t>
            </w:r>
          </w:p>
        </w:tc>
        <w:tc>
          <w:tcPr>
            <w:tcW w:w="2700" w:type="dxa"/>
            <w:vAlign w:val="center"/>
          </w:tcPr>
          <w:p w:rsidR="003079C2" w:rsidRPr="000A56AF" w:rsidRDefault="003079C2" w:rsidP="00A9646E">
            <w:pPr>
              <w:spacing w:line="240" w:lineRule="exact"/>
              <w:rPr>
                <w:rFonts w:ascii="Arial" w:hAnsi="Arial" w:cs="Arial"/>
                <w:sz w:val="20"/>
                <w:szCs w:val="20"/>
              </w:rPr>
            </w:pPr>
            <w:r w:rsidRPr="000A56AF">
              <w:rPr>
                <w:rFonts w:ascii="Arial" w:hAnsi="Arial" w:cs="Arial"/>
                <w:sz w:val="20"/>
                <w:szCs w:val="20"/>
              </w:rPr>
              <w:t>Mark A. Rothstein (PD/PI)</w:t>
            </w:r>
          </w:p>
        </w:tc>
        <w:tc>
          <w:tcPr>
            <w:tcW w:w="3330" w:type="dxa"/>
            <w:vAlign w:val="center"/>
          </w:tcPr>
          <w:p w:rsidR="003079C2" w:rsidRPr="000A56AF" w:rsidRDefault="003079C2" w:rsidP="00A9646E">
            <w:pPr>
              <w:spacing w:line="240" w:lineRule="exact"/>
              <w:rPr>
                <w:rFonts w:ascii="Arial" w:hAnsi="Arial" w:cs="Arial"/>
                <w:sz w:val="20"/>
                <w:szCs w:val="20"/>
              </w:rPr>
            </w:pPr>
            <w:r w:rsidRPr="000A56AF">
              <w:rPr>
                <w:rFonts w:ascii="Arial" w:hAnsi="Arial" w:cs="Arial"/>
                <w:sz w:val="20"/>
                <w:szCs w:val="20"/>
              </w:rPr>
              <w:t>University of Louisville</w:t>
            </w:r>
          </w:p>
        </w:tc>
      </w:tr>
      <w:tr w:rsidR="003079C2" w:rsidTr="00A9646E">
        <w:trPr>
          <w:trHeight w:val="315"/>
          <w:jc w:val="center"/>
        </w:trPr>
        <w:tc>
          <w:tcPr>
            <w:tcW w:w="3446" w:type="dxa"/>
            <w:vAlign w:val="center"/>
          </w:tcPr>
          <w:p w:rsidR="003079C2" w:rsidRPr="000A56AF" w:rsidRDefault="003079C2" w:rsidP="00A9646E">
            <w:pPr>
              <w:spacing w:line="240" w:lineRule="exact"/>
              <w:rPr>
                <w:rFonts w:ascii="Arial" w:hAnsi="Arial" w:cs="Arial"/>
                <w:sz w:val="20"/>
                <w:szCs w:val="20"/>
              </w:rPr>
            </w:pPr>
            <w:r w:rsidRPr="000A56AF">
              <w:rPr>
                <w:rFonts w:ascii="Arial" w:hAnsi="Arial" w:cs="Arial"/>
                <w:sz w:val="20"/>
                <w:szCs w:val="20"/>
              </w:rPr>
              <w:t>Open Source Toolkits</w:t>
            </w:r>
          </w:p>
        </w:tc>
        <w:tc>
          <w:tcPr>
            <w:tcW w:w="2700" w:type="dxa"/>
            <w:vAlign w:val="center"/>
          </w:tcPr>
          <w:p w:rsidR="003079C2" w:rsidRPr="000A56AF" w:rsidRDefault="003079C2" w:rsidP="00A9646E">
            <w:pPr>
              <w:spacing w:line="240" w:lineRule="exact"/>
              <w:rPr>
                <w:rFonts w:ascii="Arial" w:hAnsi="Arial" w:cs="Arial"/>
                <w:sz w:val="20"/>
                <w:szCs w:val="20"/>
              </w:rPr>
            </w:pPr>
            <w:r w:rsidRPr="000A56AF">
              <w:rPr>
                <w:rFonts w:ascii="Arial" w:hAnsi="Arial" w:cs="Arial"/>
                <w:sz w:val="20"/>
                <w:szCs w:val="20"/>
              </w:rPr>
              <w:t>John T. Wilbanks (PD/PI)</w:t>
            </w:r>
          </w:p>
        </w:tc>
        <w:tc>
          <w:tcPr>
            <w:tcW w:w="3330" w:type="dxa"/>
            <w:vAlign w:val="center"/>
          </w:tcPr>
          <w:p w:rsidR="003079C2" w:rsidRPr="000A56AF" w:rsidRDefault="003079C2" w:rsidP="00A9646E">
            <w:pPr>
              <w:spacing w:line="240" w:lineRule="exact"/>
              <w:rPr>
                <w:rFonts w:ascii="Arial" w:hAnsi="Arial" w:cs="Arial"/>
                <w:sz w:val="20"/>
                <w:szCs w:val="20"/>
              </w:rPr>
            </w:pPr>
            <w:r w:rsidRPr="000A56AF">
              <w:rPr>
                <w:rFonts w:ascii="Arial" w:hAnsi="Arial" w:cs="Arial"/>
                <w:sz w:val="20"/>
                <w:szCs w:val="20"/>
              </w:rPr>
              <w:t>Sage Bionetworks</w:t>
            </w:r>
          </w:p>
        </w:tc>
      </w:tr>
      <w:tr w:rsidR="003079C2" w:rsidTr="00A9646E">
        <w:trPr>
          <w:trHeight w:val="324"/>
          <w:jc w:val="center"/>
        </w:trPr>
        <w:tc>
          <w:tcPr>
            <w:tcW w:w="3446" w:type="dxa"/>
            <w:vAlign w:val="center"/>
          </w:tcPr>
          <w:p w:rsidR="003079C2" w:rsidRPr="000A56AF" w:rsidRDefault="003079C2" w:rsidP="00A9646E">
            <w:pPr>
              <w:spacing w:line="240" w:lineRule="exact"/>
              <w:rPr>
                <w:rFonts w:ascii="Arial" w:hAnsi="Arial" w:cs="Arial"/>
                <w:sz w:val="20"/>
                <w:szCs w:val="20"/>
              </w:rPr>
            </w:pPr>
            <w:r w:rsidRPr="000A56AF">
              <w:rPr>
                <w:rFonts w:ascii="Arial" w:hAnsi="Arial" w:cs="Arial"/>
                <w:sz w:val="20"/>
                <w:szCs w:val="20"/>
              </w:rPr>
              <w:t>Electronic Health Records</w:t>
            </w:r>
          </w:p>
        </w:tc>
        <w:tc>
          <w:tcPr>
            <w:tcW w:w="2700" w:type="dxa"/>
            <w:vAlign w:val="center"/>
          </w:tcPr>
          <w:p w:rsidR="003079C2" w:rsidRPr="000A56AF" w:rsidRDefault="003079C2" w:rsidP="00A9646E">
            <w:pPr>
              <w:spacing w:line="240" w:lineRule="exact"/>
              <w:rPr>
                <w:rFonts w:ascii="Arial" w:hAnsi="Arial" w:cs="Arial"/>
                <w:sz w:val="20"/>
                <w:szCs w:val="20"/>
              </w:rPr>
            </w:pPr>
            <w:r w:rsidRPr="000A56AF">
              <w:rPr>
                <w:rFonts w:ascii="Arial" w:hAnsi="Arial" w:cs="Arial"/>
                <w:sz w:val="20"/>
                <w:szCs w:val="20"/>
              </w:rPr>
              <w:t>Joshua Mandel</w:t>
            </w:r>
          </w:p>
        </w:tc>
        <w:tc>
          <w:tcPr>
            <w:tcW w:w="3330" w:type="dxa"/>
            <w:vAlign w:val="center"/>
          </w:tcPr>
          <w:p w:rsidR="003079C2" w:rsidRPr="000A56AF" w:rsidRDefault="003079C2" w:rsidP="00A9646E">
            <w:pPr>
              <w:spacing w:line="240" w:lineRule="exact"/>
              <w:rPr>
                <w:rFonts w:ascii="Arial" w:hAnsi="Arial" w:cs="Arial"/>
                <w:sz w:val="20"/>
                <w:szCs w:val="20"/>
              </w:rPr>
            </w:pPr>
            <w:r w:rsidRPr="000A56AF">
              <w:rPr>
                <w:rFonts w:ascii="Arial" w:hAnsi="Arial" w:cs="Arial"/>
                <w:sz w:val="20"/>
                <w:szCs w:val="20"/>
              </w:rPr>
              <w:t>Harvard Medical School</w:t>
            </w:r>
          </w:p>
        </w:tc>
      </w:tr>
      <w:tr w:rsidR="003079C2" w:rsidTr="00A9646E">
        <w:trPr>
          <w:trHeight w:val="315"/>
          <w:jc w:val="center"/>
        </w:trPr>
        <w:tc>
          <w:tcPr>
            <w:tcW w:w="3446" w:type="dxa"/>
            <w:vAlign w:val="center"/>
          </w:tcPr>
          <w:p w:rsidR="003079C2" w:rsidRPr="000A56AF" w:rsidRDefault="003079C2" w:rsidP="00A9646E">
            <w:pPr>
              <w:spacing w:line="240" w:lineRule="exact"/>
              <w:rPr>
                <w:rFonts w:ascii="Arial" w:hAnsi="Arial" w:cs="Arial"/>
                <w:sz w:val="20"/>
                <w:szCs w:val="20"/>
              </w:rPr>
            </w:pPr>
            <w:r w:rsidRPr="000A56AF">
              <w:rPr>
                <w:rFonts w:ascii="Arial" w:hAnsi="Arial" w:cs="Arial"/>
                <w:sz w:val="20"/>
                <w:szCs w:val="20"/>
              </w:rPr>
              <w:t>Genomic Information</w:t>
            </w:r>
          </w:p>
        </w:tc>
        <w:tc>
          <w:tcPr>
            <w:tcW w:w="2700" w:type="dxa"/>
            <w:vAlign w:val="center"/>
          </w:tcPr>
          <w:p w:rsidR="003079C2" w:rsidRPr="000A56AF" w:rsidRDefault="003079C2" w:rsidP="00A9646E">
            <w:pPr>
              <w:spacing w:line="240" w:lineRule="exact"/>
              <w:rPr>
                <w:rFonts w:ascii="Arial" w:hAnsi="Arial" w:cs="Arial"/>
                <w:sz w:val="20"/>
                <w:szCs w:val="20"/>
              </w:rPr>
            </w:pPr>
            <w:r w:rsidRPr="000A56AF">
              <w:rPr>
                <w:rFonts w:ascii="Arial" w:hAnsi="Arial" w:cs="Arial"/>
                <w:sz w:val="20"/>
                <w:szCs w:val="20"/>
              </w:rPr>
              <w:t>Michelle N. Meyer</w:t>
            </w:r>
          </w:p>
        </w:tc>
        <w:tc>
          <w:tcPr>
            <w:tcW w:w="3330" w:type="dxa"/>
            <w:vAlign w:val="center"/>
          </w:tcPr>
          <w:p w:rsidR="003079C2" w:rsidRPr="000A56AF" w:rsidRDefault="003079C2" w:rsidP="00A9646E">
            <w:pPr>
              <w:spacing w:line="240" w:lineRule="exact"/>
              <w:rPr>
                <w:rFonts w:ascii="Arial" w:hAnsi="Arial" w:cs="Arial"/>
                <w:sz w:val="20"/>
                <w:szCs w:val="20"/>
              </w:rPr>
            </w:pPr>
            <w:r w:rsidRPr="000A56AF">
              <w:rPr>
                <w:rFonts w:ascii="Arial" w:hAnsi="Arial" w:cs="Arial"/>
                <w:sz w:val="20"/>
                <w:szCs w:val="20"/>
              </w:rPr>
              <w:t>Icahn Sch. of Med. at Mt. Sinai</w:t>
            </w:r>
          </w:p>
        </w:tc>
      </w:tr>
      <w:tr w:rsidR="003079C2" w:rsidTr="00A9646E">
        <w:trPr>
          <w:trHeight w:val="324"/>
          <w:jc w:val="center"/>
        </w:trPr>
        <w:tc>
          <w:tcPr>
            <w:tcW w:w="3446" w:type="dxa"/>
            <w:vAlign w:val="center"/>
          </w:tcPr>
          <w:p w:rsidR="003079C2" w:rsidRPr="000A56AF" w:rsidRDefault="003079C2" w:rsidP="00A9646E">
            <w:pPr>
              <w:spacing w:line="240" w:lineRule="exact"/>
              <w:rPr>
                <w:rFonts w:ascii="Arial" w:hAnsi="Arial" w:cs="Arial"/>
                <w:sz w:val="20"/>
                <w:szCs w:val="20"/>
              </w:rPr>
            </w:pPr>
            <w:r w:rsidRPr="000A56AF">
              <w:rPr>
                <w:rFonts w:ascii="Arial" w:hAnsi="Arial" w:cs="Arial"/>
                <w:sz w:val="20"/>
                <w:szCs w:val="20"/>
              </w:rPr>
              <w:t>App Store Ethics Requirements</w:t>
            </w:r>
          </w:p>
        </w:tc>
        <w:tc>
          <w:tcPr>
            <w:tcW w:w="2700" w:type="dxa"/>
            <w:vAlign w:val="center"/>
          </w:tcPr>
          <w:p w:rsidR="003079C2" w:rsidRPr="000A56AF" w:rsidRDefault="00D0227D" w:rsidP="00A9646E">
            <w:pPr>
              <w:spacing w:line="240" w:lineRule="exact"/>
              <w:rPr>
                <w:rFonts w:ascii="Arial" w:hAnsi="Arial" w:cs="Arial"/>
                <w:sz w:val="20"/>
                <w:szCs w:val="20"/>
              </w:rPr>
            </w:pPr>
            <w:r>
              <w:rPr>
                <w:rFonts w:ascii="Arial" w:hAnsi="Arial" w:cs="Arial"/>
                <w:sz w:val="20"/>
                <w:szCs w:val="20"/>
              </w:rPr>
              <w:t>TBA</w:t>
            </w:r>
          </w:p>
        </w:tc>
        <w:tc>
          <w:tcPr>
            <w:tcW w:w="3330" w:type="dxa"/>
            <w:vAlign w:val="center"/>
          </w:tcPr>
          <w:p w:rsidR="003079C2" w:rsidRPr="000A56AF" w:rsidRDefault="00D0227D" w:rsidP="00A9646E">
            <w:pPr>
              <w:spacing w:line="240" w:lineRule="exact"/>
              <w:rPr>
                <w:rFonts w:ascii="Arial" w:hAnsi="Arial" w:cs="Arial"/>
                <w:sz w:val="20"/>
                <w:szCs w:val="20"/>
              </w:rPr>
            </w:pPr>
            <w:r w:rsidRPr="000A56AF">
              <w:rPr>
                <w:rFonts w:ascii="Arial" w:hAnsi="Arial" w:cs="Arial"/>
                <w:sz w:val="20"/>
                <w:szCs w:val="20"/>
              </w:rPr>
              <w:t>Apple and Google</w:t>
            </w:r>
          </w:p>
        </w:tc>
      </w:tr>
    </w:tbl>
    <w:p w:rsidR="00A86816" w:rsidRDefault="00E54F7A" w:rsidP="000070C3">
      <w:pPr>
        <w:spacing w:before="120" w:after="60" w:line="240" w:lineRule="exact"/>
        <w:jc w:val="both"/>
        <w:rPr>
          <w:rFonts w:ascii="Arial" w:hAnsi="Arial"/>
          <w:sz w:val="22"/>
        </w:rPr>
      </w:pPr>
      <w:r>
        <w:rPr>
          <w:rFonts w:ascii="Arial" w:hAnsi="Arial"/>
          <w:b/>
          <w:sz w:val="22"/>
        </w:rPr>
        <w:t xml:space="preserve">Sub-aim 3-2: </w:t>
      </w:r>
      <w:r w:rsidRPr="00A86816">
        <w:rPr>
          <w:rFonts w:ascii="Arial" w:hAnsi="Arial"/>
          <w:i/>
          <w:sz w:val="22"/>
        </w:rPr>
        <w:t>Policy conference</w:t>
      </w:r>
      <w:r w:rsidR="00DF222A">
        <w:rPr>
          <w:rFonts w:ascii="Arial" w:hAnsi="Arial"/>
          <w:i/>
          <w:sz w:val="22"/>
        </w:rPr>
        <w:t xml:space="preserve"> and video</w:t>
      </w:r>
      <w:r w:rsidR="00D42055">
        <w:rPr>
          <w:rFonts w:ascii="Arial" w:hAnsi="Arial"/>
          <w:sz w:val="22"/>
        </w:rPr>
        <w:t>.</w:t>
      </w:r>
      <w:r w:rsidR="00A86816">
        <w:rPr>
          <w:rFonts w:ascii="Arial" w:hAnsi="Arial"/>
          <w:sz w:val="22"/>
        </w:rPr>
        <w:t xml:space="preserve"> Translating ethical and policy analyses</w:t>
      </w:r>
      <w:r w:rsidR="00CF0BCE">
        <w:rPr>
          <w:rFonts w:ascii="Arial" w:hAnsi="Arial"/>
          <w:sz w:val="22"/>
        </w:rPr>
        <w:t xml:space="preserve"> </w:t>
      </w:r>
      <w:r w:rsidR="00A86816">
        <w:rPr>
          <w:rFonts w:ascii="Arial" w:hAnsi="Arial"/>
          <w:sz w:val="22"/>
        </w:rPr>
        <w:t>into</w:t>
      </w:r>
      <w:r w:rsidR="00F55B20">
        <w:rPr>
          <w:rFonts w:ascii="Arial" w:hAnsi="Arial"/>
          <w:sz w:val="22"/>
        </w:rPr>
        <w:t xml:space="preserve"> legislative or</w:t>
      </w:r>
      <w:r w:rsidR="00A86816">
        <w:rPr>
          <w:rFonts w:ascii="Arial" w:hAnsi="Arial"/>
          <w:sz w:val="22"/>
        </w:rPr>
        <w:t xml:space="preserve"> regulatory action is </w:t>
      </w:r>
      <w:r w:rsidR="00CF0BCE">
        <w:rPr>
          <w:rFonts w:ascii="Arial" w:hAnsi="Arial"/>
          <w:sz w:val="22"/>
        </w:rPr>
        <w:t>complicated</w:t>
      </w:r>
      <w:r w:rsidR="00A86816">
        <w:rPr>
          <w:rFonts w:ascii="Arial" w:hAnsi="Arial"/>
          <w:sz w:val="22"/>
        </w:rPr>
        <w:t xml:space="preserve">. </w:t>
      </w:r>
      <w:r w:rsidR="00CF0BCE">
        <w:rPr>
          <w:rFonts w:ascii="Arial" w:hAnsi="Arial"/>
          <w:sz w:val="22"/>
        </w:rPr>
        <w:t>A</w:t>
      </w:r>
      <w:r w:rsidR="00A86816">
        <w:rPr>
          <w:rFonts w:ascii="Arial" w:hAnsi="Arial"/>
          <w:sz w:val="22"/>
        </w:rPr>
        <w:t xml:space="preserve"> key first step is informing policy makers and stakeholders about the issue</w:t>
      </w:r>
      <w:r w:rsidR="00D24B1A">
        <w:rPr>
          <w:rFonts w:ascii="Arial" w:hAnsi="Arial"/>
          <w:sz w:val="22"/>
        </w:rPr>
        <w:t>s</w:t>
      </w:r>
      <w:r w:rsidR="00A86816">
        <w:rPr>
          <w:rFonts w:ascii="Arial" w:hAnsi="Arial"/>
          <w:sz w:val="22"/>
        </w:rPr>
        <w:t xml:space="preserve"> and the importance of timely action. To this end, </w:t>
      </w:r>
      <w:r w:rsidR="00EC1F9B">
        <w:rPr>
          <w:rFonts w:ascii="Arial" w:hAnsi="Arial"/>
          <w:sz w:val="22"/>
        </w:rPr>
        <w:t xml:space="preserve">we </w:t>
      </w:r>
      <w:r w:rsidR="00F91F79">
        <w:rPr>
          <w:rFonts w:ascii="Arial" w:hAnsi="Arial"/>
          <w:sz w:val="22"/>
        </w:rPr>
        <w:t>will</w:t>
      </w:r>
      <w:r w:rsidR="00D24B1A">
        <w:rPr>
          <w:rFonts w:ascii="Arial" w:hAnsi="Arial"/>
          <w:sz w:val="22"/>
        </w:rPr>
        <w:t xml:space="preserve"> </w:t>
      </w:r>
      <w:r w:rsidR="00A86816">
        <w:rPr>
          <w:rFonts w:ascii="Arial" w:hAnsi="Arial"/>
          <w:sz w:val="22"/>
        </w:rPr>
        <w:t>hold a half-day conference in Washington, DC, to focus on the public policy issues raised by unregulated health research using mobile devices. We bel</w:t>
      </w:r>
      <w:r w:rsidR="00D24B1A">
        <w:rPr>
          <w:rFonts w:ascii="Arial" w:hAnsi="Arial"/>
          <w:sz w:val="22"/>
        </w:rPr>
        <w:t>ieve that such a conference would</w:t>
      </w:r>
      <w:r w:rsidR="00A86816">
        <w:rPr>
          <w:rFonts w:ascii="Arial" w:hAnsi="Arial"/>
          <w:sz w:val="22"/>
        </w:rPr>
        <w:t xml:space="preserve"> be of great interest to the NIH, FDA, FTC, OHRP, other federal agencies, Congressional staffs, state governments, professional organizations, patient groups, </w:t>
      </w:r>
      <w:r w:rsidR="00A86816">
        <w:rPr>
          <w:rFonts w:ascii="Arial" w:hAnsi="Arial"/>
          <w:sz w:val="22"/>
        </w:rPr>
        <w:lastRenderedPageBreak/>
        <w:t>researchers, IRBs, and other entities. The conference will serve to catalyze policy development and implementation.</w:t>
      </w:r>
      <w:r w:rsidR="004C5CCD">
        <w:rPr>
          <w:rFonts w:ascii="Arial" w:hAnsi="Arial"/>
          <w:sz w:val="22"/>
        </w:rPr>
        <w:t xml:space="preserve"> </w:t>
      </w:r>
      <w:r w:rsidR="008807B1">
        <w:rPr>
          <w:rFonts w:ascii="Arial" w:hAnsi="Arial"/>
          <w:sz w:val="22"/>
        </w:rPr>
        <w:t>A v</w:t>
      </w:r>
      <w:r w:rsidR="004C5CCD">
        <w:rPr>
          <w:rFonts w:ascii="Arial" w:hAnsi="Arial"/>
          <w:sz w:val="22"/>
        </w:rPr>
        <w:t>ideo of the conference will be posted online.</w:t>
      </w:r>
    </w:p>
    <w:tbl>
      <w:tblPr>
        <w:tblStyle w:val="TableGrid"/>
        <w:tblW w:w="0" w:type="auto"/>
        <w:jc w:val="center"/>
        <w:tblLook w:val="04A0" w:firstRow="1" w:lastRow="0" w:firstColumn="1" w:lastColumn="0" w:noHBand="0" w:noVBand="1"/>
      </w:tblPr>
      <w:tblGrid>
        <w:gridCol w:w="3884"/>
        <w:gridCol w:w="3026"/>
        <w:gridCol w:w="2472"/>
      </w:tblGrid>
      <w:tr w:rsidR="001D6ABC" w:rsidRPr="00423BA8" w:rsidTr="00EC1080">
        <w:trPr>
          <w:trHeight w:val="296"/>
          <w:jc w:val="center"/>
        </w:trPr>
        <w:tc>
          <w:tcPr>
            <w:tcW w:w="9381" w:type="dxa"/>
            <w:gridSpan w:val="3"/>
            <w:tcBorders>
              <w:top w:val="single" w:sz="18" w:space="0" w:color="auto"/>
              <w:left w:val="single" w:sz="18" w:space="0" w:color="auto"/>
              <w:bottom w:val="nil"/>
              <w:right w:val="single" w:sz="18" w:space="0" w:color="auto"/>
            </w:tcBorders>
            <w:vAlign w:val="center"/>
          </w:tcPr>
          <w:p w:rsidR="001D6ABC" w:rsidRPr="00423BA8" w:rsidRDefault="001D6ABC" w:rsidP="001D6ABC">
            <w:pPr>
              <w:jc w:val="center"/>
              <w:rPr>
                <w:rFonts w:ascii="Arial" w:hAnsi="Arial"/>
                <w:sz w:val="20"/>
                <w:szCs w:val="20"/>
              </w:rPr>
            </w:pPr>
            <w:r w:rsidRPr="00423BA8">
              <w:rPr>
                <w:rFonts w:ascii="Arial" w:hAnsi="Arial"/>
                <w:b/>
                <w:sz w:val="20"/>
                <w:szCs w:val="20"/>
              </w:rPr>
              <w:t>Public Policy Briefing and Conference</w:t>
            </w:r>
          </w:p>
        </w:tc>
      </w:tr>
      <w:tr w:rsidR="001D6ABC" w:rsidRPr="00423BA8" w:rsidTr="00EC1080">
        <w:trPr>
          <w:trHeight w:val="189"/>
          <w:jc w:val="center"/>
        </w:trPr>
        <w:tc>
          <w:tcPr>
            <w:tcW w:w="9381" w:type="dxa"/>
            <w:gridSpan w:val="3"/>
            <w:tcBorders>
              <w:top w:val="nil"/>
              <w:left w:val="single" w:sz="18" w:space="0" w:color="auto"/>
              <w:right w:val="single" w:sz="18" w:space="0" w:color="auto"/>
            </w:tcBorders>
            <w:vAlign w:val="center"/>
          </w:tcPr>
          <w:p w:rsidR="001D6ABC" w:rsidRPr="00423BA8" w:rsidRDefault="001D6ABC" w:rsidP="00343B51">
            <w:pPr>
              <w:jc w:val="center"/>
              <w:rPr>
                <w:rFonts w:ascii="Arial" w:hAnsi="Arial"/>
                <w:sz w:val="20"/>
                <w:szCs w:val="20"/>
              </w:rPr>
            </w:pPr>
            <w:r w:rsidRPr="00423BA8">
              <w:rPr>
                <w:rFonts w:ascii="Arial" w:hAnsi="Arial"/>
                <w:sz w:val="20"/>
                <w:szCs w:val="20"/>
              </w:rPr>
              <w:t>Washington, DC</w:t>
            </w:r>
            <w:r w:rsidR="00EF55ED" w:rsidRPr="00423BA8">
              <w:rPr>
                <w:rFonts w:ascii="Arial" w:hAnsi="Arial"/>
                <w:sz w:val="20"/>
                <w:szCs w:val="20"/>
              </w:rPr>
              <w:t>: October 2019</w:t>
            </w:r>
          </w:p>
        </w:tc>
      </w:tr>
      <w:tr w:rsidR="00343B51" w:rsidRPr="00423BA8" w:rsidTr="00EC1080">
        <w:trPr>
          <w:trHeight w:val="262"/>
          <w:jc w:val="center"/>
        </w:trPr>
        <w:tc>
          <w:tcPr>
            <w:tcW w:w="3884" w:type="dxa"/>
            <w:tcBorders>
              <w:left w:val="single" w:sz="18" w:space="0" w:color="auto"/>
            </w:tcBorders>
            <w:vAlign w:val="center"/>
          </w:tcPr>
          <w:p w:rsidR="00343B51" w:rsidRPr="00423BA8" w:rsidRDefault="00343B51" w:rsidP="00E7717E">
            <w:pPr>
              <w:jc w:val="center"/>
              <w:rPr>
                <w:rFonts w:ascii="Arial" w:hAnsi="Arial"/>
                <w:sz w:val="20"/>
                <w:szCs w:val="20"/>
              </w:rPr>
            </w:pPr>
            <w:r w:rsidRPr="00423BA8">
              <w:rPr>
                <w:rFonts w:ascii="Arial" w:hAnsi="Arial" w:cs="Arial"/>
                <w:b/>
                <w:sz w:val="20"/>
                <w:szCs w:val="20"/>
              </w:rPr>
              <w:t>Topic</w:t>
            </w:r>
          </w:p>
        </w:tc>
        <w:tc>
          <w:tcPr>
            <w:tcW w:w="3026" w:type="dxa"/>
            <w:vAlign w:val="center"/>
          </w:tcPr>
          <w:p w:rsidR="00343B51" w:rsidRPr="00423BA8" w:rsidRDefault="00343B51" w:rsidP="00E7717E">
            <w:pPr>
              <w:jc w:val="center"/>
              <w:rPr>
                <w:rFonts w:ascii="Arial" w:hAnsi="Arial"/>
                <w:sz w:val="20"/>
                <w:szCs w:val="20"/>
              </w:rPr>
            </w:pPr>
            <w:r w:rsidRPr="00423BA8">
              <w:rPr>
                <w:rFonts w:ascii="Arial" w:hAnsi="Arial" w:cs="Arial"/>
                <w:b/>
                <w:sz w:val="20"/>
                <w:szCs w:val="20"/>
              </w:rPr>
              <w:t>Speaker</w:t>
            </w:r>
          </w:p>
        </w:tc>
        <w:tc>
          <w:tcPr>
            <w:tcW w:w="2472" w:type="dxa"/>
            <w:tcBorders>
              <w:right w:val="single" w:sz="18" w:space="0" w:color="auto"/>
            </w:tcBorders>
            <w:vAlign w:val="center"/>
          </w:tcPr>
          <w:p w:rsidR="00343B51" w:rsidRPr="00423BA8" w:rsidRDefault="00343B51" w:rsidP="00E7717E">
            <w:pPr>
              <w:jc w:val="center"/>
              <w:rPr>
                <w:rFonts w:ascii="Arial" w:hAnsi="Arial"/>
                <w:sz w:val="20"/>
                <w:szCs w:val="20"/>
              </w:rPr>
            </w:pPr>
            <w:r w:rsidRPr="00423BA8">
              <w:rPr>
                <w:rFonts w:ascii="Arial" w:hAnsi="Arial" w:cs="Arial"/>
                <w:b/>
                <w:sz w:val="20"/>
                <w:szCs w:val="20"/>
              </w:rPr>
              <w:t>Affiliation</w:t>
            </w:r>
          </w:p>
        </w:tc>
      </w:tr>
      <w:tr w:rsidR="00AC6A6A" w:rsidRPr="00423BA8" w:rsidTr="00EC1080">
        <w:trPr>
          <w:trHeight w:val="261"/>
          <w:jc w:val="center"/>
        </w:trPr>
        <w:tc>
          <w:tcPr>
            <w:tcW w:w="3884" w:type="dxa"/>
            <w:tcBorders>
              <w:left w:val="single" w:sz="18" w:space="0" w:color="auto"/>
            </w:tcBorders>
            <w:vAlign w:val="center"/>
          </w:tcPr>
          <w:p w:rsidR="00AC6A6A" w:rsidRPr="00423BA8" w:rsidRDefault="00DA1272" w:rsidP="00DA1272">
            <w:pPr>
              <w:rPr>
                <w:rFonts w:ascii="Arial" w:hAnsi="Arial"/>
                <w:sz w:val="20"/>
                <w:szCs w:val="20"/>
              </w:rPr>
            </w:pPr>
            <w:r w:rsidRPr="00423BA8">
              <w:rPr>
                <w:rFonts w:ascii="Arial" w:hAnsi="Arial"/>
                <w:sz w:val="20"/>
                <w:szCs w:val="20"/>
              </w:rPr>
              <w:t>Technology Introduction and Update</w:t>
            </w:r>
          </w:p>
        </w:tc>
        <w:tc>
          <w:tcPr>
            <w:tcW w:w="3026" w:type="dxa"/>
            <w:vAlign w:val="center"/>
          </w:tcPr>
          <w:p w:rsidR="00AC6A6A" w:rsidRPr="00423BA8" w:rsidRDefault="00AC6A6A" w:rsidP="00DA1272">
            <w:pPr>
              <w:rPr>
                <w:rFonts w:ascii="Arial" w:hAnsi="Arial" w:cs="Arial"/>
                <w:sz w:val="20"/>
                <w:szCs w:val="20"/>
              </w:rPr>
            </w:pPr>
            <w:r w:rsidRPr="00423BA8">
              <w:rPr>
                <w:rFonts w:ascii="Arial" w:hAnsi="Arial" w:cs="Arial"/>
                <w:sz w:val="20"/>
                <w:szCs w:val="20"/>
              </w:rPr>
              <w:t>John T. Wilbanks (PD/PI)</w:t>
            </w:r>
          </w:p>
        </w:tc>
        <w:tc>
          <w:tcPr>
            <w:tcW w:w="2472" w:type="dxa"/>
            <w:tcBorders>
              <w:right w:val="single" w:sz="18" w:space="0" w:color="auto"/>
            </w:tcBorders>
            <w:vAlign w:val="center"/>
          </w:tcPr>
          <w:p w:rsidR="00AC6A6A" w:rsidRPr="00423BA8" w:rsidRDefault="00AC6A6A" w:rsidP="00DA1272">
            <w:pPr>
              <w:rPr>
                <w:rFonts w:ascii="Arial" w:hAnsi="Arial" w:cs="Arial"/>
                <w:sz w:val="20"/>
                <w:szCs w:val="20"/>
              </w:rPr>
            </w:pPr>
            <w:r w:rsidRPr="00423BA8">
              <w:rPr>
                <w:rFonts w:ascii="Arial" w:hAnsi="Arial" w:cs="Arial"/>
                <w:sz w:val="20"/>
                <w:szCs w:val="20"/>
              </w:rPr>
              <w:t>Sage Bionetworks</w:t>
            </w:r>
          </w:p>
        </w:tc>
      </w:tr>
      <w:tr w:rsidR="00343B51" w:rsidRPr="00423BA8" w:rsidTr="00EC1080">
        <w:trPr>
          <w:trHeight w:val="243"/>
          <w:jc w:val="center"/>
        </w:trPr>
        <w:tc>
          <w:tcPr>
            <w:tcW w:w="3884" w:type="dxa"/>
            <w:tcBorders>
              <w:left w:val="single" w:sz="18" w:space="0" w:color="auto"/>
            </w:tcBorders>
            <w:vAlign w:val="center"/>
          </w:tcPr>
          <w:p w:rsidR="00343B51" w:rsidRPr="00423BA8" w:rsidRDefault="00DA1272" w:rsidP="00DA1272">
            <w:pPr>
              <w:rPr>
                <w:rFonts w:ascii="Arial" w:hAnsi="Arial"/>
                <w:sz w:val="20"/>
                <w:szCs w:val="20"/>
              </w:rPr>
            </w:pPr>
            <w:r w:rsidRPr="00423BA8">
              <w:rPr>
                <w:rFonts w:ascii="Arial" w:hAnsi="Arial"/>
                <w:sz w:val="20"/>
                <w:szCs w:val="20"/>
              </w:rPr>
              <w:t>Unregulated Research</w:t>
            </w:r>
          </w:p>
        </w:tc>
        <w:tc>
          <w:tcPr>
            <w:tcW w:w="3026" w:type="dxa"/>
            <w:vAlign w:val="center"/>
          </w:tcPr>
          <w:p w:rsidR="00343B51" w:rsidRPr="00423BA8" w:rsidRDefault="00343B51" w:rsidP="00DA1272">
            <w:pPr>
              <w:rPr>
                <w:rFonts w:ascii="Arial" w:hAnsi="Arial"/>
                <w:sz w:val="20"/>
                <w:szCs w:val="20"/>
              </w:rPr>
            </w:pPr>
            <w:r w:rsidRPr="00423BA8">
              <w:rPr>
                <w:rFonts w:ascii="Arial" w:hAnsi="Arial" w:cs="Arial"/>
                <w:sz w:val="20"/>
                <w:szCs w:val="20"/>
              </w:rPr>
              <w:t>Mark A. Rothstein (PD/PI)</w:t>
            </w:r>
          </w:p>
        </w:tc>
        <w:tc>
          <w:tcPr>
            <w:tcW w:w="2472" w:type="dxa"/>
            <w:tcBorders>
              <w:right w:val="single" w:sz="18" w:space="0" w:color="auto"/>
            </w:tcBorders>
            <w:vAlign w:val="center"/>
          </w:tcPr>
          <w:p w:rsidR="00343B51" w:rsidRPr="00423BA8" w:rsidRDefault="00343B51" w:rsidP="00DA1272">
            <w:pPr>
              <w:rPr>
                <w:rFonts w:ascii="Arial" w:hAnsi="Arial"/>
                <w:sz w:val="20"/>
                <w:szCs w:val="20"/>
              </w:rPr>
            </w:pPr>
            <w:r w:rsidRPr="00423BA8">
              <w:rPr>
                <w:rFonts w:ascii="Arial" w:hAnsi="Arial" w:cs="Arial"/>
                <w:sz w:val="20"/>
                <w:szCs w:val="20"/>
              </w:rPr>
              <w:t>University of Louisville</w:t>
            </w:r>
          </w:p>
        </w:tc>
      </w:tr>
      <w:tr w:rsidR="00343B51" w:rsidRPr="00423BA8" w:rsidTr="00EC1080">
        <w:trPr>
          <w:trHeight w:val="253"/>
          <w:jc w:val="center"/>
        </w:trPr>
        <w:tc>
          <w:tcPr>
            <w:tcW w:w="3884" w:type="dxa"/>
            <w:tcBorders>
              <w:left w:val="single" w:sz="18" w:space="0" w:color="auto"/>
            </w:tcBorders>
            <w:vAlign w:val="center"/>
          </w:tcPr>
          <w:p w:rsidR="00343B51" w:rsidRPr="00423BA8" w:rsidRDefault="00DA1272" w:rsidP="007F1935">
            <w:pPr>
              <w:rPr>
                <w:rFonts w:ascii="Arial" w:hAnsi="Arial"/>
                <w:sz w:val="20"/>
                <w:szCs w:val="20"/>
              </w:rPr>
            </w:pPr>
            <w:r w:rsidRPr="00423BA8">
              <w:rPr>
                <w:rFonts w:ascii="Arial" w:hAnsi="Arial"/>
                <w:sz w:val="20"/>
                <w:szCs w:val="20"/>
              </w:rPr>
              <w:t xml:space="preserve">Thought Leader Interviews </w:t>
            </w:r>
          </w:p>
        </w:tc>
        <w:tc>
          <w:tcPr>
            <w:tcW w:w="3026" w:type="dxa"/>
            <w:vAlign w:val="center"/>
          </w:tcPr>
          <w:p w:rsidR="00343B51" w:rsidRPr="00423BA8" w:rsidRDefault="00343B51" w:rsidP="00DA1272">
            <w:pPr>
              <w:rPr>
                <w:rFonts w:ascii="Arial" w:hAnsi="Arial" w:cs="Arial"/>
                <w:sz w:val="20"/>
                <w:szCs w:val="20"/>
              </w:rPr>
            </w:pPr>
            <w:r w:rsidRPr="00423BA8">
              <w:rPr>
                <w:rFonts w:ascii="Arial" w:hAnsi="Arial"/>
                <w:sz w:val="20"/>
                <w:szCs w:val="20"/>
              </w:rPr>
              <w:t>Laura Beskow (Co-I)</w:t>
            </w:r>
          </w:p>
        </w:tc>
        <w:tc>
          <w:tcPr>
            <w:tcW w:w="2472" w:type="dxa"/>
            <w:tcBorders>
              <w:right w:val="single" w:sz="18" w:space="0" w:color="auto"/>
            </w:tcBorders>
            <w:vAlign w:val="center"/>
          </w:tcPr>
          <w:p w:rsidR="00343B51" w:rsidRPr="00423BA8" w:rsidRDefault="00343B51" w:rsidP="00DA1272">
            <w:pPr>
              <w:rPr>
                <w:rFonts w:ascii="Arial" w:hAnsi="Arial" w:cs="Arial"/>
                <w:sz w:val="20"/>
                <w:szCs w:val="20"/>
              </w:rPr>
            </w:pPr>
            <w:r w:rsidRPr="00423BA8">
              <w:rPr>
                <w:rFonts w:ascii="Arial" w:hAnsi="Arial"/>
                <w:sz w:val="20"/>
                <w:szCs w:val="20"/>
              </w:rPr>
              <w:t>Duke University</w:t>
            </w:r>
          </w:p>
        </w:tc>
      </w:tr>
      <w:tr w:rsidR="00AC6A6A" w:rsidRPr="00423BA8" w:rsidTr="00EC1080">
        <w:trPr>
          <w:trHeight w:val="802"/>
          <w:jc w:val="center"/>
        </w:trPr>
        <w:tc>
          <w:tcPr>
            <w:tcW w:w="3884" w:type="dxa"/>
            <w:tcBorders>
              <w:left w:val="single" w:sz="18" w:space="0" w:color="auto"/>
            </w:tcBorders>
            <w:vAlign w:val="center"/>
          </w:tcPr>
          <w:p w:rsidR="00AC6A6A" w:rsidRPr="00423BA8" w:rsidRDefault="00DA1272" w:rsidP="00DA1272">
            <w:pPr>
              <w:rPr>
                <w:rFonts w:ascii="Arial" w:hAnsi="Arial"/>
                <w:sz w:val="20"/>
                <w:szCs w:val="20"/>
              </w:rPr>
            </w:pPr>
            <w:r w:rsidRPr="00423BA8">
              <w:rPr>
                <w:rFonts w:ascii="Arial" w:hAnsi="Arial"/>
                <w:sz w:val="20"/>
                <w:szCs w:val="20"/>
              </w:rPr>
              <w:t>Panel Discussion on Key Issues</w:t>
            </w:r>
            <w:r w:rsidR="007F1935" w:rsidRPr="00423BA8">
              <w:rPr>
                <w:rFonts w:ascii="Arial" w:hAnsi="Arial"/>
                <w:sz w:val="20"/>
                <w:szCs w:val="20"/>
              </w:rPr>
              <w:t>: IRBs, Access to Technology, Privacy, and Data Sharing</w:t>
            </w:r>
          </w:p>
        </w:tc>
        <w:tc>
          <w:tcPr>
            <w:tcW w:w="3026" w:type="dxa"/>
            <w:vAlign w:val="center"/>
          </w:tcPr>
          <w:p w:rsidR="00AC6A6A" w:rsidRPr="00423BA8" w:rsidRDefault="00AC6A6A" w:rsidP="00DA1272">
            <w:pPr>
              <w:rPr>
                <w:rFonts w:ascii="Arial" w:hAnsi="Arial"/>
                <w:sz w:val="20"/>
                <w:szCs w:val="20"/>
              </w:rPr>
            </w:pPr>
            <w:r w:rsidRPr="00423BA8">
              <w:rPr>
                <w:rFonts w:ascii="Arial" w:hAnsi="Arial" w:cs="Arial"/>
                <w:sz w:val="20"/>
                <w:szCs w:val="20"/>
              </w:rPr>
              <w:t>Jeffrey R. Botkin (WG/A)</w:t>
            </w:r>
            <w:r w:rsidRPr="00423BA8">
              <w:rPr>
                <w:rFonts w:ascii="Arial" w:hAnsi="Arial" w:cs="Arial"/>
                <w:sz w:val="20"/>
                <w:szCs w:val="20"/>
              </w:rPr>
              <w:br/>
              <w:t>Kyle B. Brothers</w:t>
            </w:r>
            <w:r w:rsidR="007277E9" w:rsidRPr="00423BA8">
              <w:rPr>
                <w:rFonts w:ascii="Arial" w:hAnsi="Arial" w:cs="Arial"/>
                <w:sz w:val="20"/>
                <w:szCs w:val="20"/>
              </w:rPr>
              <w:t xml:space="preserve"> (C</w:t>
            </w:r>
            <w:r w:rsidRPr="00423BA8">
              <w:rPr>
                <w:rFonts w:ascii="Arial" w:hAnsi="Arial" w:cs="Arial"/>
                <w:sz w:val="20"/>
                <w:szCs w:val="20"/>
              </w:rPr>
              <w:t>o-I)</w:t>
            </w:r>
            <w:r w:rsidRPr="00423BA8">
              <w:rPr>
                <w:rFonts w:ascii="Arial" w:hAnsi="Arial" w:cs="Arial"/>
                <w:sz w:val="20"/>
                <w:szCs w:val="20"/>
              </w:rPr>
              <w:br/>
            </w:r>
            <w:r w:rsidR="00DA1272" w:rsidRPr="00423BA8">
              <w:rPr>
                <w:rFonts w:ascii="Arial" w:hAnsi="Arial" w:cs="Arial"/>
                <w:sz w:val="20"/>
                <w:szCs w:val="20"/>
              </w:rPr>
              <w:t>Amy L. McGuire (WG/A</w:t>
            </w:r>
            <w:r w:rsidRPr="00423BA8">
              <w:rPr>
                <w:rFonts w:ascii="Arial" w:hAnsi="Arial" w:cs="Arial"/>
                <w:sz w:val="20"/>
                <w:szCs w:val="20"/>
              </w:rPr>
              <w:t>)</w:t>
            </w:r>
            <w:r w:rsidR="00DA1272" w:rsidRPr="00423BA8">
              <w:rPr>
                <w:rFonts w:ascii="Arial" w:hAnsi="Arial" w:cs="Arial"/>
                <w:sz w:val="20"/>
                <w:szCs w:val="20"/>
              </w:rPr>
              <w:br/>
              <w:t>Heather L. Harrell (Co-I)</w:t>
            </w:r>
          </w:p>
        </w:tc>
        <w:tc>
          <w:tcPr>
            <w:tcW w:w="2472" w:type="dxa"/>
            <w:tcBorders>
              <w:right w:val="single" w:sz="18" w:space="0" w:color="auto"/>
            </w:tcBorders>
            <w:vAlign w:val="center"/>
          </w:tcPr>
          <w:p w:rsidR="00AC6A6A" w:rsidRPr="00423BA8" w:rsidRDefault="00AC6A6A" w:rsidP="009A5F5D">
            <w:pPr>
              <w:rPr>
                <w:rFonts w:ascii="Arial" w:hAnsi="Arial" w:cs="Arial"/>
                <w:sz w:val="20"/>
                <w:szCs w:val="20"/>
              </w:rPr>
            </w:pPr>
            <w:r w:rsidRPr="00423BA8">
              <w:rPr>
                <w:rFonts w:ascii="Arial" w:hAnsi="Arial" w:cs="Arial"/>
                <w:sz w:val="20"/>
                <w:szCs w:val="20"/>
              </w:rPr>
              <w:t>University of Utah</w:t>
            </w:r>
            <w:r w:rsidRPr="00423BA8">
              <w:rPr>
                <w:rFonts w:ascii="Arial" w:hAnsi="Arial" w:cs="Arial"/>
                <w:sz w:val="20"/>
                <w:szCs w:val="20"/>
              </w:rPr>
              <w:br/>
              <w:t>University of Louisville</w:t>
            </w:r>
            <w:r w:rsidRPr="00423BA8">
              <w:rPr>
                <w:rFonts w:ascii="Arial" w:hAnsi="Arial" w:cs="Arial"/>
                <w:sz w:val="20"/>
                <w:szCs w:val="20"/>
              </w:rPr>
              <w:br/>
            </w:r>
            <w:r w:rsidR="00DA1272" w:rsidRPr="00423BA8">
              <w:rPr>
                <w:rFonts w:ascii="Arial" w:hAnsi="Arial" w:cs="Arial"/>
                <w:sz w:val="20"/>
                <w:szCs w:val="20"/>
              </w:rPr>
              <w:t>Baylor College of Med</w:t>
            </w:r>
            <w:r w:rsidR="009A5F5D">
              <w:rPr>
                <w:rFonts w:ascii="Arial" w:hAnsi="Arial" w:cs="Arial"/>
                <w:sz w:val="20"/>
                <w:szCs w:val="20"/>
              </w:rPr>
              <w:t>.</w:t>
            </w:r>
            <w:r w:rsidR="00DA1272" w:rsidRPr="00423BA8">
              <w:rPr>
                <w:rFonts w:ascii="Arial" w:hAnsi="Arial" w:cs="Arial"/>
                <w:sz w:val="20"/>
                <w:szCs w:val="20"/>
              </w:rPr>
              <w:br/>
              <w:t>University of Louisville</w:t>
            </w:r>
          </w:p>
        </w:tc>
      </w:tr>
      <w:tr w:rsidR="00343B51" w:rsidRPr="00423BA8" w:rsidTr="00EC1080">
        <w:trPr>
          <w:trHeight w:val="270"/>
          <w:jc w:val="center"/>
        </w:trPr>
        <w:tc>
          <w:tcPr>
            <w:tcW w:w="3884" w:type="dxa"/>
            <w:tcBorders>
              <w:left w:val="single" w:sz="18" w:space="0" w:color="auto"/>
              <w:bottom w:val="single" w:sz="18" w:space="0" w:color="auto"/>
            </w:tcBorders>
            <w:vAlign w:val="center"/>
          </w:tcPr>
          <w:p w:rsidR="00343B51" w:rsidRPr="00423BA8" w:rsidRDefault="00DA1272" w:rsidP="002B4166">
            <w:pPr>
              <w:rPr>
                <w:rFonts w:ascii="Arial" w:hAnsi="Arial"/>
                <w:sz w:val="20"/>
                <w:szCs w:val="20"/>
              </w:rPr>
            </w:pPr>
            <w:r w:rsidRPr="00423BA8">
              <w:rPr>
                <w:rFonts w:ascii="Arial" w:hAnsi="Arial"/>
                <w:sz w:val="20"/>
                <w:szCs w:val="20"/>
              </w:rPr>
              <w:t>Consensus Recommendations</w:t>
            </w:r>
          </w:p>
        </w:tc>
        <w:tc>
          <w:tcPr>
            <w:tcW w:w="3026" w:type="dxa"/>
            <w:tcBorders>
              <w:bottom w:val="single" w:sz="18" w:space="0" w:color="auto"/>
            </w:tcBorders>
            <w:vAlign w:val="center"/>
          </w:tcPr>
          <w:p w:rsidR="00343B51" w:rsidRPr="00423BA8" w:rsidRDefault="00343B51" w:rsidP="00DA1272">
            <w:pPr>
              <w:rPr>
                <w:rFonts w:ascii="Arial" w:hAnsi="Arial"/>
                <w:sz w:val="20"/>
                <w:szCs w:val="20"/>
              </w:rPr>
            </w:pPr>
            <w:r w:rsidRPr="00423BA8">
              <w:rPr>
                <w:rFonts w:ascii="Arial" w:hAnsi="Arial" w:cs="Arial"/>
                <w:sz w:val="20"/>
                <w:szCs w:val="20"/>
              </w:rPr>
              <w:t>Mark A. Rothstein (PD/PI)</w:t>
            </w:r>
          </w:p>
        </w:tc>
        <w:tc>
          <w:tcPr>
            <w:tcW w:w="2472" w:type="dxa"/>
            <w:tcBorders>
              <w:bottom w:val="single" w:sz="18" w:space="0" w:color="auto"/>
              <w:right w:val="single" w:sz="18" w:space="0" w:color="auto"/>
            </w:tcBorders>
            <w:vAlign w:val="center"/>
          </w:tcPr>
          <w:p w:rsidR="00343B51" w:rsidRPr="00423BA8" w:rsidRDefault="00343B51" w:rsidP="00DA1272">
            <w:pPr>
              <w:rPr>
                <w:rFonts w:ascii="Arial" w:hAnsi="Arial"/>
                <w:sz w:val="20"/>
                <w:szCs w:val="20"/>
              </w:rPr>
            </w:pPr>
            <w:r w:rsidRPr="00423BA8">
              <w:rPr>
                <w:rFonts w:ascii="Arial" w:hAnsi="Arial" w:cs="Arial"/>
                <w:sz w:val="20"/>
                <w:szCs w:val="20"/>
              </w:rPr>
              <w:t>University of Louisville</w:t>
            </w:r>
          </w:p>
        </w:tc>
      </w:tr>
    </w:tbl>
    <w:p w:rsidR="00E54F7A" w:rsidRPr="00D42055" w:rsidRDefault="00E54F7A" w:rsidP="000070C3">
      <w:pPr>
        <w:spacing w:before="60" w:after="120" w:line="240" w:lineRule="exact"/>
        <w:jc w:val="both"/>
        <w:rPr>
          <w:rFonts w:ascii="Arial" w:hAnsi="Arial"/>
          <w:sz w:val="22"/>
        </w:rPr>
      </w:pPr>
      <w:r>
        <w:rPr>
          <w:rFonts w:ascii="Arial" w:hAnsi="Arial"/>
          <w:b/>
          <w:sz w:val="22"/>
        </w:rPr>
        <w:t xml:space="preserve">Sub-aim 3-3: </w:t>
      </w:r>
      <w:r w:rsidRPr="00A86816">
        <w:rPr>
          <w:rFonts w:ascii="Arial" w:hAnsi="Arial"/>
          <w:i/>
          <w:sz w:val="22"/>
        </w:rPr>
        <w:t>Publication of symposium</w:t>
      </w:r>
      <w:r w:rsidR="00D42055">
        <w:rPr>
          <w:rFonts w:ascii="Arial" w:hAnsi="Arial"/>
          <w:sz w:val="22"/>
        </w:rPr>
        <w:t xml:space="preserve">. </w:t>
      </w:r>
      <w:r w:rsidR="00D24B1A">
        <w:rPr>
          <w:rFonts w:ascii="Arial" w:hAnsi="Arial"/>
          <w:sz w:val="22"/>
        </w:rPr>
        <w:t xml:space="preserve">Working Group members and key personnel on the proposed grant will draft </w:t>
      </w:r>
      <w:r w:rsidR="00D42055">
        <w:rPr>
          <w:rFonts w:ascii="Arial" w:hAnsi="Arial"/>
          <w:sz w:val="22"/>
        </w:rPr>
        <w:t>20 articles</w:t>
      </w:r>
      <w:r w:rsidR="00EC1F9B">
        <w:rPr>
          <w:rFonts w:ascii="Arial" w:hAnsi="Arial"/>
          <w:sz w:val="22"/>
        </w:rPr>
        <w:t xml:space="preserve"> containing consensus policy recommendations</w:t>
      </w:r>
      <w:r w:rsidR="00D24B1A">
        <w:rPr>
          <w:rFonts w:ascii="Arial" w:hAnsi="Arial"/>
          <w:sz w:val="22"/>
        </w:rPr>
        <w:t xml:space="preserve"> to </w:t>
      </w:r>
      <w:r w:rsidR="00D42055">
        <w:rPr>
          <w:rFonts w:ascii="Arial" w:hAnsi="Arial"/>
          <w:sz w:val="22"/>
        </w:rPr>
        <w:t xml:space="preserve">be published in a special symposium issue of the </w:t>
      </w:r>
      <w:r w:rsidR="00D42055">
        <w:rPr>
          <w:rFonts w:ascii="Arial" w:hAnsi="Arial"/>
          <w:i/>
          <w:sz w:val="22"/>
        </w:rPr>
        <w:t xml:space="preserve">Journal of Law, Medicine &amp; Ethics (JLME), </w:t>
      </w:r>
      <w:r w:rsidR="00D42055">
        <w:rPr>
          <w:rFonts w:ascii="Arial" w:hAnsi="Arial"/>
          <w:sz w:val="22"/>
        </w:rPr>
        <w:t xml:space="preserve">one of the most prestigious and widely-referenced journals in the fields of </w:t>
      </w:r>
      <w:r w:rsidR="00EC1F9B">
        <w:rPr>
          <w:rFonts w:ascii="Arial" w:hAnsi="Arial"/>
          <w:sz w:val="22"/>
        </w:rPr>
        <w:t>bioethics, health law,</w:t>
      </w:r>
      <w:r w:rsidR="00D42055">
        <w:rPr>
          <w:rFonts w:ascii="Arial" w:hAnsi="Arial"/>
          <w:sz w:val="22"/>
        </w:rPr>
        <w:t xml:space="preserve"> and health policy. </w:t>
      </w:r>
      <w:r w:rsidR="00A61FB6">
        <w:rPr>
          <w:rFonts w:ascii="Arial" w:hAnsi="Arial"/>
          <w:sz w:val="22"/>
        </w:rPr>
        <w:t>Let</w:t>
      </w:r>
      <w:r w:rsidR="005864B0">
        <w:rPr>
          <w:rFonts w:ascii="Arial" w:hAnsi="Arial"/>
          <w:sz w:val="22"/>
        </w:rPr>
        <w:t xml:space="preserve">ters of commitment from the </w:t>
      </w:r>
      <w:r w:rsidR="00A61FB6">
        <w:rPr>
          <w:rFonts w:ascii="Arial" w:hAnsi="Arial"/>
          <w:sz w:val="22"/>
        </w:rPr>
        <w:t xml:space="preserve">journal and all authors are included in the </w:t>
      </w:r>
      <w:r w:rsidR="00CF0BCE">
        <w:rPr>
          <w:rFonts w:ascii="Arial" w:hAnsi="Arial"/>
          <w:sz w:val="22"/>
        </w:rPr>
        <w:t>Letters of Support</w:t>
      </w:r>
      <w:r w:rsidR="00A61FB6">
        <w:rPr>
          <w:rFonts w:ascii="Arial" w:hAnsi="Arial"/>
          <w:sz w:val="22"/>
        </w:rPr>
        <w:t xml:space="preserve">. </w:t>
      </w:r>
      <w:r w:rsidR="00880291">
        <w:rPr>
          <w:rFonts w:ascii="Arial" w:hAnsi="Arial"/>
          <w:sz w:val="22"/>
        </w:rPr>
        <w:t xml:space="preserve">The </w:t>
      </w:r>
      <w:r w:rsidR="00D42055">
        <w:rPr>
          <w:rFonts w:ascii="Arial" w:hAnsi="Arial"/>
          <w:sz w:val="22"/>
        </w:rPr>
        <w:t xml:space="preserve">PD/PI has a longstanding relationship with this journal, having written a regular column ("Currents in Contemporary Bioethics") </w:t>
      </w:r>
      <w:r w:rsidR="008067A2">
        <w:rPr>
          <w:rFonts w:ascii="Arial" w:hAnsi="Arial"/>
          <w:sz w:val="22"/>
        </w:rPr>
        <w:t xml:space="preserve">quarterly </w:t>
      </w:r>
      <w:r w:rsidR="00D42055">
        <w:rPr>
          <w:rFonts w:ascii="Arial" w:hAnsi="Arial"/>
          <w:sz w:val="22"/>
        </w:rPr>
        <w:t xml:space="preserve">since 2000. </w:t>
      </w:r>
      <w:r w:rsidR="00BB7D74">
        <w:rPr>
          <w:rFonts w:ascii="Arial" w:hAnsi="Arial"/>
          <w:sz w:val="22"/>
        </w:rPr>
        <w:t xml:space="preserve">The </w:t>
      </w:r>
      <w:r w:rsidR="000D41B5">
        <w:rPr>
          <w:rFonts w:ascii="Arial" w:hAnsi="Arial"/>
          <w:sz w:val="22"/>
        </w:rPr>
        <w:t>feasibility</w:t>
      </w:r>
      <w:r w:rsidR="00BB7D74">
        <w:rPr>
          <w:rFonts w:ascii="Arial" w:hAnsi="Arial"/>
          <w:sz w:val="22"/>
        </w:rPr>
        <w:t xml:space="preserve"> and likely success of the symposium is evidenced by the</w:t>
      </w:r>
      <w:r w:rsidR="00D42055">
        <w:rPr>
          <w:rFonts w:ascii="Arial" w:hAnsi="Arial"/>
          <w:sz w:val="22"/>
        </w:rPr>
        <w:t xml:space="preserve"> 2016 </w:t>
      </w:r>
      <w:r w:rsidR="00BB7D74">
        <w:rPr>
          <w:rFonts w:ascii="Arial" w:hAnsi="Arial"/>
          <w:sz w:val="22"/>
        </w:rPr>
        <w:t xml:space="preserve">publication of </w:t>
      </w:r>
      <w:r w:rsidR="00D42055">
        <w:rPr>
          <w:rFonts w:ascii="Arial" w:hAnsi="Arial"/>
          <w:sz w:val="22"/>
        </w:rPr>
        <w:t>two symposium issues</w:t>
      </w:r>
      <w:r w:rsidR="00BB7D74">
        <w:rPr>
          <w:rFonts w:ascii="Arial" w:hAnsi="Arial"/>
          <w:sz w:val="22"/>
        </w:rPr>
        <w:t xml:space="preserve"> of </w:t>
      </w:r>
      <w:r w:rsidR="00BB7D74">
        <w:rPr>
          <w:rFonts w:ascii="Arial" w:hAnsi="Arial"/>
          <w:i/>
          <w:sz w:val="22"/>
        </w:rPr>
        <w:t>JLME</w:t>
      </w:r>
      <w:r w:rsidR="00D42055">
        <w:rPr>
          <w:rFonts w:ascii="Arial" w:hAnsi="Arial"/>
          <w:sz w:val="22"/>
        </w:rPr>
        <w:t xml:space="preserve"> (27 articles) for the NIH-funded grant, "Harmonizing Privacy Laws to Enable International Biobank Research," for which Ma</w:t>
      </w:r>
      <w:r w:rsidR="00BA7D60">
        <w:rPr>
          <w:rFonts w:ascii="Arial" w:hAnsi="Arial"/>
          <w:sz w:val="22"/>
        </w:rPr>
        <w:t>rk A. Rothstein was the PD/PI.</w:t>
      </w:r>
    </w:p>
    <w:p w:rsidR="00D13525" w:rsidRDefault="00E54F7A" w:rsidP="00423BA8">
      <w:pPr>
        <w:spacing w:after="120" w:line="240" w:lineRule="exact"/>
        <w:jc w:val="both"/>
        <w:rPr>
          <w:rFonts w:ascii="Arial" w:hAnsi="Arial"/>
          <w:sz w:val="22"/>
        </w:rPr>
      </w:pPr>
      <w:r>
        <w:rPr>
          <w:rFonts w:ascii="Arial" w:hAnsi="Arial"/>
          <w:b/>
          <w:sz w:val="22"/>
        </w:rPr>
        <w:t xml:space="preserve">Sub-aim 3-4: </w:t>
      </w:r>
      <w:r w:rsidRPr="00A86816">
        <w:rPr>
          <w:rFonts w:ascii="Arial" w:hAnsi="Arial"/>
          <w:i/>
          <w:sz w:val="22"/>
        </w:rPr>
        <w:t>Presentation of findings and recommendations</w:t>
      </w:r>
      <w:r w:rsidR="00A86816">
        <w:rPr>
          <w:rFonts w:ascii="Arial" w:hAnsi="Arial"/>
          <w:sz w:val="22"/>
        </w:rPr>
        <w:t xml:space="preserve">. The key findings and recommendations will be presented </w:t>
      </w:r>
      <w:r w:rsidR="008067A2">
        <w:rPr>
          <w:rFonts w:ascii="Arial" w:hAnsi="Arial"/>
          <w:sz w:val="22"/>
        </w:rPr>
        <w:t xml:space="preserve">by the investigator team </w:t>
      </w:r>
      <w:r w:rsidR="00A86816">
        <w:rPr>
          <w:rFonts w:ascii="Arial" w:hAnsi="Arial"/>
          <w:sz w:val="22"/>
        </w:rPr>
        <w:t>to a diverse group of stakeholders</w:t>
      </w:r>
      <w:r>
        <w:rPr>
          <w:rFonts w:ascii="Arial" w:hAnsi="Arial"/>
          <w:sz w:val="22"/>
        </w:rPr>
        <w:t xml:space="preserve"> </w:t>
      </w:r>
      <w:r w:rsidRPr="00E54F7A">
        <w:rPr>
          <w:rFonts w:ascii="Arial" w:hAnsi="Arial"/>
          <w:sz w:val="22"/>
        </w:rPr>
        <w:t xml:space="preserve">at </w:t>
      </w:r>
      <w:r>
        <w:rPr>
          <w:rFonts w:ascii="Arial" w:hAnsi="Arial"/>
          <w:sz w:val="22"/>
        </w:rPr>
        <w:t xml:space="preserve">major </w:t>
      </w:r>
      <w:r w:rsidRPr="00E54F7A">
        <w:rPr>
          <w:rFonts w:ascii="Arial" w:hAnsi="Arial"/>
          <w:sz w:val="22"/>
        </w:rPr>
        <w:t>professional meetings and</w:t>
      </w:r>
      <w:r>
        <w:rPr>
          <w:rFonts w:ascii="Arial" w:hAnsi="Arial"/>
          <w:sz w:val="22"/>
        </w:rPr>
        <w:t xml:space="preserve"> conferences of </w:t>
      </w:r>
      <w:r w:rsidR="00EC1F9B">
        <w:rPr>
          <w:rFonts w:ascii="Arial" w:hAnsi="Arial"/>
          <w:sz w:val="22"/>
        </w:rPr>
        <w:t>patients groups</w:t>
      </w:r>
      <w:r>
        <w:rPr>
          <w:rFonts w:ascii="Arial" w:hAnsi="Arial"/>
          <w:sz w:val="22"/>
        </w:rPr>
        <w:t xml:space="preserve"> and policy makers. Among </w:t>
      </w:r>
      <w:r w:rsidR="008067A2">
        <w:rPr>
          <w:rFonts w:ascii="Arial" w:hAnsi="Arial"/>
          <w:sz w:val="22"/>
        </w:rPr>
        <w:t>the audiences to be targeted</w:t>
      </w:r>
      <w:r>
        <w:rPr>
          <w:rFonts w:ascii="Arial" w:hAnsi="Arial"/>
          <w:sz w:val="22"/>
        </w:rPr>
        <w:t>: Public Responsibility in Medicine &amp; Research (PRIM&amp;R), the nation's leading organization of professionals in health research</w:t>
      </w:r>
      <w:r w:rsidR="00CE3A4B">
        <w:rPr>
          <w:rFonts w:ascii="Arial" w:hAnsi="Arial"/>
          <w:sz w:val="22"/>
        </w:rPr>
        <w:t xml:space="preserve"> oversight</w:t>
      </w:r>
      <w:r w:rsidR="008067A2">
        <w:rPr>
          <w:rFonts w:ascii="Arial" w:hAnsi="Arial"/>
          <w:sz w:val="22"/>
        </w:rPr>
        <w:t>;</w:t>
      </w:r>
      <w:r>
        <w:rPr>
          <w:rFonts w:ascii="Arial" w:hAnsi="Arial"/>
          <w:sz w:val="22"/>
        </w:rPr>
        <w:t xml:space="preserve"> reg</w:t>
      </w:r>
      <w:r w:rsidR="008067A2">
        <w:rPr>
          <w:rFonts w:ascii="Arial" w:hAnsi="Arial"/>
          <w:sz w:val="22"/>
        </w:rPr>
        <w:t>ional meetings of IRB officials;</w:t>
      </w:r>
      <w:r>
        <w:rPr>
          <w:rFonts w:ascii="Arial" w:hAnsi="Arial"/>
          <w:sz w:val="22"/>
        </w:rPr>
        <w:t xml:space="preserve"> meetings of patient advocacy and consumer</w:t>
      </w:r>
      <w:r w:rsidR="008067A2">
        <w:rPr>
          <w:rFonts w:ascii="Arial" w:hAnsi="Arial"/>
          <w:sz w:val="22"/>
        </w:rPr>
        <w:t xml:space="preserve"> groups;</w:t>
      </w:r>
      <w:r>
        <w:rPr>
          <w:rFonts w:ascii="Arial" w:hAnsi="Arial"/>
          <w:sz w:val="22"/>
        </w:rPr>
        <w:t xml:space="preserve"> and meetings and conferences that will be part of </w:t>
      </w:r>
      <w:r w:rsidR="008067A2">
        <w:rPr>
          <w:rFonts w:ascii="Arial" w:hAnsi="Arial"/>
          <w:sz w:val="22"/>
        </w:rPr>
        <w:t xml:space="preserve">or related to </w:t>
      </w:r>
      <w:r>
        <w:rPr>
          <w:rFonts w:ascii="Arial" w:hAnsi="Arial"/>
          <w:sz w:val="22"/>
        </w:rPr>
        <w:t>the Precision Medicine Initiative.</w:t>
      </w:r>
    </w:p>
    <w:p w:rsidR="00E54F7A" w:rsidRDefault="00BA7D60" w:rsidP="004274B9">
      <w:pPr>
        <w:spacing w:before="120" w:after="60" w:line="220" w:lineRule="exact"/>
        <w:rPr>
          <w:rFonts w:ascii="Arial" w:hAnsi="Arial"/>
          <w:b/>
          <w:sz w:val="22"/>
        </w:rPr>
      </w:pPr>
      <w:r>
        <w:rPr>
          <w:rFonts w:ascii="Arial" w:hAnsi="Arial"/>
          <w:b/>
          <w:sz w:val="22"/>
        </w:rPr>
        <w:t>D. TIMELINE</w:t>
      </w:r>
    </w:p>
    <w:p w:rsidR="00570D5B" w:rsidRDefault="0079006A" w:rsidP="00EC1080">
      <w:pPr>
        <w:jc w:val="center"/>
        <w:rPr>
          <w:rFonts w:ascii="Arial" w:hAnsi="Arial"/>
          <w:sz w:val="22"/>
        </w:rPr>
      </w:pPr>
      <w:r>
        <w:rPr>
          <w:rFonts w:ascii="Arial" w:hAnsi="Arial"/>
          <w:noProof/>
          <w:sz w:val="22"/>
        </w:rPr>
        <w:drawing>
          <wp:inline distT="0" distB="0" distL="0" distR="0">
            <wp:extent cx="6629400" cy="36950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line_2016.gif"/>
                    <pic:cNvPicPr/>
                  </pic:nvPicPr>
                  <pic:blipFill>
                    <a:blip r:embed="rId8">
                      <a:extLst>
                        <a:ext uri="{28A0092B-C50C-407E-A947-70E740481C1C}">
                          <a14:useLocalDpi xmlns:a14="http://schemas.microsoft.com/office/drawing/2010/main" val="0"/>
                        </a:ext>
                      </a:extLst>
                    </a:blip>
                    <a:stretch>
                      <a:fillRect/>
                    </a:stretch>
                  </pic:blipFill>
                  <pic:spPr>
                    <a:xfrm>
                      <a:off x="0" y="0"/>
                      <a:ext cx="6629400" cy="3695065"/>
                    </a:xfrm>
                    <a:prstGeom prst="rect">
                      <a:avLst/>
                    </a:prstGeom>
                  </pic:spPr>
                </pic:pic>
              </a:graphicData>
            </a:graphic>
          </wp:inline>
        </w:drawing>
      </w:r>
    </w:p>
    <w:p w:rsidR="00734D9A" w:rsidRDefault="00734D9A">
      <w:pPr>
        <w:rPr>
          <w:rFonts w:ascii="Arial" w:hAnsi="Arial"/>
          <w:sz w:val="22"/>
        </w:rPr>
      </w:pPr>
      <w:r>
        <w:rPr>
          <w:rFonts w:ascii="Arial" w:hAnsi="Arial"/>
          <w:sz w:val="22"/>
        </w:rPr>
        <w:br w:type="page"/>
      </w:r>
    </w:p>
    <w:sectPr w:rsidR="00734D9A" w:rsidSect="009A5F5D">
      <w:footerReference w:type="default" r:id="rId9"/>
      <w:endnotePr>
        <w:numFmt w:val="decimal"/>
      </w:endnotePr>
      <w:pgSz w:w="12240" w:h="15840"/>
      <w:pgMar w:top="720" w:right="720" w:bottom="720" w:left="720" w:header="0" w:footer="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B79" w:rsidRPr="00BD63AC" w:rsidRDefault="00602B79" w:rsidP="00BD63AC">
      <w:pPr>
        <w:spacing w:after="120"/>
        <w:rPr>
          <w:rFonts w:ascii="Arial" w:hAnsi="Arial" w:cs="Arial"/>
          <w:sz w:val="22"/>
        </w:rPr>
      </w:pPr>
      <w:r w:rsidRPr="00BD63AC">
        <w:rPr>
          <w:rFonts w:ascii="Arial" w:hAnsi="Arial" w:cs="Arial"/>
          <w:sz w:val="22"/>
        </w:rPr>
        <w:t>References:</w:t>
      </w:r>
    </w:p>
  </w:endnote>
  <w:endnote w:type="continuationSeparator" w:id="0">
    <w:p w:rsidR="00602B79" w:rsidRPr="00BD63AC" w:rsidRDefault="00602B79" w:rsidP="00BD63AC">
      <w:pPr>
        <w:spacing w:after="120"/>
        <w:rPr>
          <w:rFonts w:ascii="Arial" w:hAnsi="Arial" w:cs="Arial"/>
          <w:sz w:val="22"/>
        </w:rPr>
      </w:pPr>
      <w:r w:rsidRPr="00BD63AC">
        <w:rPr>
          <w:rFonts w:ascii="Arial" w:hAnsi="Arial" w:cs="Arial"/>
          <w:sz w:val="22"/>
        </w:rPr>
        <w:t>References:</w:t>
      </w:r>
    </w:p>
  </w:endnote>
  <w:endnote w:type="continuationNotice" w:id="1">
    <w:p w:rsidR="00602B79" w:rsidRDefault="00602B79"/>
  </w:endnote>
  <w:endnote w:id="2">
    <w:p w:rsidR="00E7717E" w:rsidRPr="000E2B10" w:rsidRDefault="00E7717E" w:rsidP="00734D9A">
      <w:pPr>
        <w:pStyle w:val="EndnoteText"/>
        <w:spacing w:after="120"/>
        <w:ind w:left="360" w:hanging="360"/>
        <w:rPr>
          <w:sz w:val="22"/>
          <w:szCs w:val="22"/>
        </w:rPr>
      </w:pPr>
      <w:r w:rsidRPr="000E2B10">
        <w:rPr>
          <w:rStyle w:val="EndnoteReference"/>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W. Xu and Y. Liu, "mHealthApps: A Repository and Database of Mobile Health Apps," JMIR mHealth uHealth</w:t>
      </w:r>
      <w:r w:rsidRPr="000E2B10">
        <w:rPr>
          <w:rFonts w:ascii="Arial" w:hAnsi="Arial" w:cs="Arial"/>
          <w:i/>
          <w:sz w:val="22"/>
          <w:szCs w:val="22"/>
        </w:rPr>
        <w:t xml:space="preserve"> </w:t>
      </w:r>
      <w:r w:rsidRPr="000E2B10">
        <w:rPr>
          <w:rFonts w:ascii="Arial" w:hAnsi="Arial" w:cs="Arial"/>
          <w:sz w:val="22"/>
          <w:szCs w:val="22"/>
        </w:rPr>
        <w:t>2015; 3(1):e28, doi:10.2196/mhealth.4026, PMID: 25786060, PMCID: PMC4382566.</w:t>
      </w:r>
    </w:p>
  </w:endnote>
  <w:endnote w:id="3">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t>K. Terry, "Number of Health Apps Soars, but Use Does Not Always Follow," Medscape Medical News (Sept. 18, 2015), http://www.medscape.com/viewarticle/851226_print.</w:t>
      </w:r>
    </w:p>
  </w:endnote>
  <w:endnote w:id="4">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t xml:space="preserve">Department of Health and Human Services, Food and Drug Administration, Mobile Medical Applications: Guidance for Industry and Food and Drug Administration Staff (2015), </w:t>
      </w:r>
      <w:r w:rsidRPr="000E2B10">
        <w:rPr>
          <w:rFonts w:ascii="Arial" w:hAnsi="Arial" w:cs="Arial"/>
          <w:i/>
          <w:sz w:val="22"/>
          <w:szCs w:val="22"/>
        </w:rPr>
        <w:t>available at</w:t>
      </w:r>
      <w:r w:rsidRPr="000E2B10">
        <w:rPr>
          <w:rFonts w:ascii="Arial" w:hAnsi="Arial" w:cs="Arial"/>
          <w:sz w:val="22"/>
          <w:szCs w:val="22"/>
        </w:rPr>
        <w:t xml:space="preserve"> http://www.fda.gov/downloads/medicaldevices/deviceregulationand guidance/guidancedocuments/ucm263366.pdf (last visited September 16, 2015); W. Xu and Y. Liu, "mHealthApps: A Repository and Database of Mobile Health Apps," JMIR mHealth uHealth</w:t>
      </w:r>
      <w:r w:rsidRPr="000E2B10">
        <w:rPr>
          <w:rFonts w:ascii="Arial" w:hAnsi="Arial" w:cs="Arial"/>
          <w:i/>
          <w:sz w:val="22"/>
          <w:szCs w:val="22"/>
        </w:rPr>
        <w:t xml:space="preserve"> </w:t>
      </w:r>
      <w:r w:rsidRPr="000E2B10">
        <w:rPr>
          <w:rFonts w:ascii="Arial" w:hAnsi="Arial" w:cs="Arial"/>
          <w:sz w:val="22"/>
          <w:szCs w:val="22"/>
        </w:rPr>
        <w:t>2015; 3(1):e28, doi:10.2196/mhealth.4026, PMID: 25786060, PMCID: PMC4382566.</w:t>
      </w:r>
    </w:p>
  </w:endnote>
  <w:endnote w:id="5">
    <w:p w:rsidR="004B5912" w:rsidRPr="000E2B10" w:rsidRDefault="004B5912" w:rsidP="000E2B10">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007C3335" w:rsidRPr="000E2B10">
        <w:rPr>
          <w:rFonts w:ascii="Arial" w:hAnsi="Arial" w:cs="Arial"/>
          <w:sz w:val="22"/>
          <w:szCs w:val="22"/>
        </w:rPr>
        <w:tab/>
      </w:r>
      <w:r w:rsidRPr="000E2B10">
        <w:rPr>
          <w:rFonts w:ascii="Arial" w:hAnsi="Arial" w:cs="Arial"/>
          <w:sz w:val="22"/>
          <w:szCs w:val="22"/>
        </w:rPr>
        <w:t>See http://blog.shazino.com/articles/science/researchkit-list-apps/; http://www.openmhealth.org/introducing-research-stack (last visited June 7, 2016).</w:t>
      </w:r>
    </w:p>
  </w:endnote>
  <w:endnote w:id="6">
    <w:p w:rsidR="00E7717E" w:rsidRPr="000E2B10" w:rsidRDefault="00E7717E" w:rsidP="00EE76E9">
      <w:pPr>
        <w:pStyle w:val="EndnoteText"/>
        <w:spacing w:after="120"/>
        <w:ind w:left="360" w:hanging="360"/>
        <w:rPr>
          <w:rFonts w:ascii="Arial" w:hAnsi="Arial" w:cs="Arial"/>
          <w:sz w:val="22"/>
          <w:szCs w:val="22"/>
        </w:rPr>
      </w:pPr>
      <w:r w:rsidRPr="000E2B10">
        <w:rPr>
          <w:rStyle w:val="EndnoteReference"/>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F. Fornei et al., "Lithium Delays Progression of Amyotrophic Lateral Sclerosis," Proceedings of the National Academy of Sciences 105(6) (2008): 2052-2057.</w:t>
      </w:r>
    </w:p>
  </w:endnote>
  <w:endnote w:id="7">
    <w:p w:rsidR="00E7717E" w:rsidRPr="000E2B10" w:rsidRDefault="00E7717E" w:rsidP="00EE76E9">
      <w:pPr>
        <w:pStyle w:val="EndnoteText"/>
        <w:spacing w:after="120"/>
        <w:ind w:left="360" w:hanging="360"/>
        <w:rPr>
          <w:rFonts w:ascii="Arial" w:hAnsi="Arial" w:cs="Arial"/>
          <w:sz w:val="22"/>
          <w:szCs w:val="22"/>
        </w:rPr>
      </w:pPr>
      <w:r w:rsidRPr="000E2B10">
        <w:rPr>
          <w:rStyle w:val="EndnoteReference"/>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P. Wicks et al., "Accelerated Clinical Discovery Using Self-Reported Patient Data Collected Online and a Patient-Matching Algorithm," Nature Biotechnology 29(5) (2011): 411-414</w:t>
      </w:r>
      <w:r w:rsidR="00EA02F6">
        <w:rPr>
          <w:rFonts w:ascii="Arial" w:hAnsi="Arial" w:cs="Arial"/>
          <w:sz w:val="22"/>
          <w:szCs w:val="22"/>
        </w:rPr>
        <w:t xml:space="preserve">, </w:t>
      </w:r>
      <w:r w:rsidR="00EA02F6">
        <w:rPr>
          <w:rFonts w:ascii="Arial" w:hAnsi="Arial" w:cs="Arial"/>
          <w:sz w:val="22"/>
        </w:rPr>
        <w:t>DOI: 10.1038/nbt.1837</w:t>
      </w:r>
      <w:r w:rsidRPr="000E2B10">
        <w:rPr>
          <w:rFonts w:ascii="Arial" w:hAnsi="Arial" w:cs="Arial"/>
          <w:sz w:val="22"/>
          <w:szCs w:val="22"/>
        </w:rPr>
        <w:t>.</w:t>
      </w:r>
    </w:p>
  </w:endnote>
  <w:endnote w:id="8">
    <w:p w:rsidR="00837C66" w:rsidRPr="00837C66" w:rsidRDefault="00837C66" w:rsidP="00837C66">
      <w:pPr>
        <w:pStyle w:val="EndnoteText"/>
        <w:spacing w:after="120"/>
        <w:ind w:left="360" w:hanging="360"/>
        <w:rPr>
          <w:rFonts w:ascii="Arial" w:hAnsi="Arial" w:cs="Arial"/>
          <w:sz w:val="22"/>
          <w:szCs w:val="22"/>
        </w:rPr>
      </w:pPr>
      <w:r w:rsidRPr="00837C66">
        <w:rPr>
          <w:rStyle w:val="EndnoteReference"/>
          <w:rFonts w:ascii="Arial" w:hAnsi="Arial" w:cs="Arial"/>
          <w:sz w:val="22"/>
          <w:szCs w:val="22"/>
        </w:rPr>
        <w:endnoteRef/>
      </w:r>
      <w:r w:rsidRPr="00837C66">
        <w:rPr>
          <w:rFonts w:ascii="Arial" w:hAnsi="Arial" w:cs="Arial"/>
          <w:sz w:val="22"/>
          <w:szCs w:val="22"/>
        </w:rPr>
        <w:t xml:space="preserve"> </w:t>
      </w:r>
      <w:r w:rsidRPr="00837C66">
        <w:rPr>
          <w:rFonts w:ascii="Arial" w:hAnsi="Arial" w:cs="Arial"/>
          <w:sz w:val="22"/>
          <w:szCs w:val="22"/>
        </w:rPr>
        <w:tab/>
        <w:t xml:space="preserve">J.P. Wooley et al., “Citizen Science or Scientific Citizenship? Disentangling the Uses of Public Engagement Rhetoric </w:t>
      </w:r>
      <w:r w:rsidR="00E2783A">
        <w:rPr>
          <w:rFonts w:ascii="Arial" w:hAnsi="Arial" w:cs="Arial"/>
          <w:sz w:val="22"/>
          <w:szCs w:val="22"/>
        </w:rPr>
        <w:t>i</w:t>
      </w:r>
      <w:r w:rsidRPr="00837C66">
        <w:rPr>
          <w:rFonts w:ascii="Arial" w:hAnsi="Arial" w:cs="Arial"/>
          <w:sz w:val="22"/>
          <w:szCs w:val="22"/>
        </w:rPr>
        <w:t>n National Research Initiatives,” BMC Medical Ethics (2016) 17: 33, DOI: 10.1186/s12910-016-0117-1.</w:t>
      </w:r>
    </w:p>
  </w:endnote>
  <w:endnote w:id="9">
    <w:p w:rsidR="00E7717E" w:rsidRPr="000E2B10" w:rsidRDefault="00E7717E" w:rsidP="00EE76E9">
      <w:pPr>
        <w:pStyle w:val="EndnoteText"/>
        <w:spacing w:after="120"/>
        <w:ind w:left="360" w:hanging="360"/>
        <w:rPr>
          <w:rFonts w:ascii="Arial" w:hAnsi="Arial" w:cs="Arial"/>
          <w:sz w:val="22"/>
          <w:szCs w:val="22"/>
        </w:rPr>
      </w:pPr>
      <w:r w:rsidRPr="000E2B10">
        <w:rPr>
          <w:rStyle w:val="EndnoteReference"/>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M. Swan et al., "Citizen Science Genomics as a Model for Crowdsourced Preventive Medicine Research," Journal of Participatory Medicine 2010 Dec 23; 2:e20.</w:t>
      </w:r>
    </w:p>
  </w:endnote>
  <w:endnote w:id="10">
    <w:p w:rsidR="00E7717E" w:rsidRPr="000E2B10" w:rsidRDefault="00E7717E" w:rsidP="00EE76E9">
      <w:pPr>
        <w:pStyle w:val="EndnoteText"/>
        <w:spacing w:after="120"/>
        <w:ind w:left="360" w:hanging="360"/>
        <w:rPr>
          <w:rFonts w:ascii="Arial" w:hAnsi="Arial" w:cs="Arial"/>
          <w:sz w:val="22"/>
          <w:szCs w:val="22"/>
        </w:rPr>
      </w:pPr>
      <w:r w:rsidRPr="000E2B10">
        <w:rPr>
          <w:rStyle w:val="EndnoteReference"/>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A. McDonald, J. McDonell, and C. Mitchell, "Mobile Apps: Redefining the Virtual California Economy and the Laws that Govern It," Journal of Antitrust and Unfair Competition Law of the California State Bar 24(2) (2015): 86-105: 88.</w:t>
      </w:r>
    </w:p>
  </w:endnote>
  <w:endnote w:id="11">
    <w:p w:rsidR="00E7717E" w:rsidRPr="000E2B10" w:rsidRDefault="00E7717E" w:rsidP="00EE76E9">
      <w:pPr>
        <w:pStyle w:val="EndnoteText"/>
        <w:spacing w:after="120"/>
        <w:ind w:left="360" w:hanging="360"/>
        <w:rPr>
          <w:rFonts w:ascii="Arial" w:hAnsi="Arial" w:cs="Arial"/>
          <w:sz w:val="22"/>
          <w:szCs w:val="22"/>
        </w:rPr>
      </w:pPr>
      <w:r w:rsidRPr="000E2B10">
        <w:rPr>
          <w:rStyle w:val="EndnoteReference"/>
          <w:sz w:val="22"/>
          <w:szCs w:val="22"/>
        </w:rPr>
        <w:endnoteRef/>
      </w:r>
      <w:r w:rsidRPr="000E2B10">
        <w:rPr>
          <w:sz w:val="22"/>
          <w:szCs w:val="22"/>
        </w:rPr>
        <w:t xml:space="preserve"> </w:t>
      </w:r>
      <w:r w:rsidRPr="000E2B10">
        <w:rPr>
          <w:rFonts w:ascii="Arial" w:hAnsi="Arial" w:cs="Arial"/>
          <w:sz w:val="22"/>
          <w:szCs w:val="22"/>
        </w:rPr>
        <w:tab/>
        <w:t>S.R. Blenner et al., "Research Letter: Privacy Policies of Android Diabetes Apps and Sharing of Health Information," Journal of the American Medical Association 315</w:t>
      </w:r>
      <w:r w:rsidR="00EA02F6" w:rsidRPr="000E2B10">
        <w:rPr>
          <w:rFonts w:ascii="Arial" w:hAnsi="Arial" w:cs="Arial"/>
          <w:sz w:val="22"/>
          <w:szCs w:val="22"/>
        </w:rPr>
        <w:t>(</w:t>
      </w:r>
      <w:r w:rsidR="00EA02F6">
        <w:rPr>
          <w:rFonts w:ascii="Arial" w:hAnsi="Arial" w:cs="Arial"/>
          <w:sz w:val="22"/>
          <w:szCs w:val="22"/>
        </w:rPr>
        <w:t>10</w:t>
      </w:r>
      <w:r w:rsidR="00EA02F6" w:rsidRPr="000E2B10">
        <w:rPr>
          <w:rFonts w:ascii="Arial" w:hAnsi="Arial" w:cs="Arial"/>
          <w:sz w:val="22"/>
          <w:szCs w:val="22"/>
        </w:rPr>
        <w:t xml:space="preserve">) </w:t>
      </w:r>
      <w:r w:rsidRPr="000E2B10">
        <w:rPr>
          <w:rFonts w:ascii="Arial" w:hAnsi="Arial" w:cs="Arial"/>
          <w:sz w:val="22"/>
          <w:szCs w:val="22"/>
        </w:rPr>
        <w:t>(2016): 1051-1052</w:t>
      </w:r>
      <w:r w:rsidR="00EA02F6">
        <w:rPr>
          <w:rFonts w:ascii="Arial" w:hAnsi="Arial" w:cs="Arial"/>
          <w:sz w:val="22"/>
          <w:szCs w:val="22"/>
        </w:rPr>
        <w:t>, DOI: 10.1001/jama2015.19426</w:t>
      </w:r>
      <w:r w:rsidRPr="000E2B10">
        <w:rPr>
          <w:rFonts w:ascii="Arial" w:hAnsi="Arial" w:cs="Arial"/>
          <w:sz w:val="22"/>
          <w:szCs w:val="22"/>
        </w:rPr>
        <w:t>.</w:t>
      </w:r>
    </w:p>
  </w:endnote>
  <w:endnote w:id="12">
    <w:p w:rsidR="00E7717E" w:rsidRPr="000E2B10" w:rsidRDefault="00E7717E" w:rsidP="00EE76E9">
      <w:pPr>
        <w:pStyle w:val="EndnoteText"/>
        <w:spacing w:after="120"/>
        <w:ind w:left="360" w:hanging="360"/>
        <w:rPr>
          <w:rFonts w:ascii="Arial" w:hAnsi="Arial" w:cs="Arial"/>
          <w:sz w:val="22"/>
          <w:szCs w:val="22"/>
        </w:rPr>
      </w:pPr>
      <w:r w:rsidRPr="000E2B10">
        <w:rPr>
          <w:rStyle w:val="EndnoteReference"/>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E. Vayena, A. Mastroianni, and J. Kahn, "Caught in the Web: Informed Consent for Online Health Research," Science Translational Medicine 5(173) (2013): 173fs6, DOI:10.1126/scitranlmed.3004798.</w:t>
      </w:r>
    </w:p>
  </w:endnote>
  <w:endnote w:id="13">
    <w:p w:rsidR="00E7717E" w:rsidRPr="000E2B10" w:rsidRDefault="00E7717E" w:rsidP="00EE76E9">
      <w:pPr>
        <w:pStyle w:val="EndnoteText"/>
        <w:spacing w:after="120"/>
        <w:ind w:left="360" w:hanging="360"/>
        <w:rPr>
          <w:rFonts w:ascii="Arial" w:hAnsi="Arial" w:cs="Arial"/>
          <w:sz w:val="22"/>
          <w:szCs w:val="22"/>
        </w:rPr>
      </w:pPr>
      <w:r w:rsidRPr="000E2B10">
        <w:rPr>
          <w:rStyle w:val="EndnoteReference"/>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A. McDonald, J. McDonell, and C. Mitchell, "Mobile Apps: Redefining the Virtual California Economy and the Laws that Govern It," Journal of Antitrust and Unfair Competition Law of the California State Bar 24(2) (2015): 86-105: 88.</w:t>
      </w:r>
    </w:p>
  </w:endnote>
  <w:endnote w:id="14">
    <w:p w:rsidR="00E7717E" w:rsidRPr="000E2B10" w:rsidRDefault="00E7717E" w:rsidP="00EE76E9">
      <w:pPr>
        <w:pStyle w:val="EndnoteText"/>
        <w:spacing w:after="120"/>
        <w:ind w:left="360" w:hanging="360"/>
        <w:rPr>
          <w:rFonts w:ascii="Arial" w:hAnsi="Arial" w:cs="Arial"/>
          <w:sz w:val="22"/>
          <w:szCs w:val="22"/>
        </w:rPr>
      </w:pPr>
      <w:r w:rsidRPr="000E2B10">
        <w:rPr>
          <w:rStyle w:val="EndnoteReference"/>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U.S. Senate, Committee on Commerce, Science, and Transportation, Office of Oversight and Investigations Majority Staff, A Review of the Data Broker Industry: Collection, Use, and Sale of Consumer Data for Marketing Purposes, Staff Report for Chairman Rockefeller, Dec. 18, 2013, at 29.</w:t>
      </w:r>
    </w:p>
  </w:endnote>
  <w:endnote w:id="15">
    <w:p w:rsidR="0042348C" w:rsidRPr="000E2B10" w:rsidRDefault="0042348C" w:rsidP="000E2B10">
      <w:pPr>
        <w:pStyle w:val="EndnoteText"/>
        <w:spacing w:after="120"/>
        <w:ind w:left="360" w:hanging="360"/>
        <w:rPr>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000E2B10" w:rsidRPr="000E2B10">
        <w:rPr>
          <w:rFonts w:ascii="Arial" w:hAnsi="Arial" w:cs="Arial"/>
          <w:sz w:val="22"/>
          <w:szCs w:val="22"/>
        </w:rPr>
        <w:tab/>
      </w:r>
      <w:r w:rsidRPr="000E2B10">
        <w:rPr>
          <w:rFonts w:ascii="Arial" w:hAnsi="Arial" w:cs="Arial"/>
          <w:sz w:val="22"/>
          <w:szCs w:val="22"/>
        </w:rPr>
        <w:t xml:space="preserve">J. Zang et al., "Who Knows about Me? A Survey of Behind the Scenes Personal Data Sharing to Third Parties by Mobile Apps," </w:t>
      </w:r>
      <w:hyperlink r:id="rId1" w:anchor="Results" w:history="1">
        <w:r w:rsidRPr="000E2B10">
          <w:rPr>
            <w:rStyle w:val="Hyperlink"/>
            <w:rFonts w:ascii="Arial" w:hAnsi="Arial" w:cs="Arial"/>
            <w:color w:val="auto"/>
            <w:sz w:val="22"/>
            <w:szCs w:val="22"/>
            <w:u w:val="none"/>
          </w:rPr>
          <w:t>http://techscience.org/a/201503001/#Results</w:t>
        </w:r>
      </w:hyperlink>
      <w:r w:rsidRPr="000E2B10">
        <w:rPr>
          <w:rFonts w:ascii="Arial" w:hAnsi="Arial" w:cs="Arial"/>
          <w:sz w:val="22"/>
          <w:szCs w:val="22"/>
        </w:rPr>
        <w:t xml:space="preserve"> (last visited May 31, 2016).</w:t>
      </w:r>
    </w:p>
  </w:endnote>
  <w:endnote w:id="16">
    <w:p w:rsidR="0042348C" w:rsidRPr="000E2B10" w:rsidRDefault="0042348C" w:rsidP="000E2B10">
      <w:pPr>
        <w:pStyle w:val="EndnoteText"/>
        <w:spacing w:after="120"/>
        <w:ind w:left="360" w:hanging="360"/>
        <w:rPr>
          <w:rFonts w:ascii="Arial" w:hAnsi="Arial" w:cs="Arial"/>
          <w:sz w:val="22"/>
          <w:szCs w:val="22"/>
        </w:rPr>
      </w:pPr>
      <w:r w:rsidRPr="000E2B10">
        <w:rPr>
          <w:rStyle w:val="EndnoteReference"/>
          <w:sz w:val="22"/>
          <w:szCs w:val="22"/>
        </w:rPr>
        <w:endnoteRef/>
      </w:r>
      <w:r w:rsidRPr="000E2B10">
        <w:rPr>
          <w:sz w:val="22"/>
          <w:szCs w:val="22"/>
        </w:rPr>
        <w:t xml:space="preserve"> </w:t>
      </w:r>
      <w:r w:rsidR="000E2B10" w:rsidRPr="000E2B10">
        <w:rPr>
          <w:sz w:val="22"/>
          <w:szCs w:val="22"/>
        </w:rPr>
        <w:tab/>
      </w:r>
      <w:r w:rsidRPr="000E2B10">
        <w:rPr>
          <w:rFonts w:ascii="Arial" w:hAnsi="Arial" w:cs="Arial"/>
          <w:sz w:val="22"/>
          <w:szCs w:val="22"/>
        </w:rPr>
        <w:t xml:space="preserve">California Healthcare Foundation, "Here's Looking at You: How Personal Health Information Is Being Tracked and Used," available at </w:t>
      </w:r>
      <w:hyperlink r:id="rId2" w:history="1">
        <w:r w:rsidRPr="000E2B10">
          <w:rPr>
            <w:rStyle w:val="Hyperlink"/>
            <w:rFonts w:ascii="Arial" w:hAnsi="Arial" w:cs="Arial"/>
            <w:color w:val="auto"/>
            <w:sz w:val="22"/>
            <w:szCs w:val="22"/>
            <w:u w:val="none"/>
          </w:rPr>
          <w:t>http://www.chcf.org/~/media/MEDIA%20LIBRARY%20Files/PDF/PDF%20H/PDF%20HeresLookingPersonalHealthInfo.pdf</w:t>
        </w:r>
      </w:hyperlink>
      <w:r w:rsidRPr="000E2B10">
        <w:rPr>
          <w:rFonts w:ascii="Arial" w:hAnsi="Arial" w:cs="Arial"/>
          <w:sz w:val="22"/>
          <w:szCs w:val="22"/>
        </w:rPr>
        <w:t xml:space="preserve"> (last visited May 31, 2016).</w:t>
      </w:r>
    </w:p>
  </w:endnote>
  <w:endnote w:id="17">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t>45 C.F.R. § 46.101(a).</w:t>
      </w:r>
    </w:p>
  </w:endnote>
  <w:endnote w:id="18">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t>IRBs and Assurances, www.hhs.gov/ohrp/assurances/index.html (last visited July 12, 2015).</w:t>
      </w:r>
    </w:p>
  </w:endnote>
  <w:endnote w:id="19">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t>21 C.F.R. Parts 50 (protection of human subjects) and 56 (IRBs) (last visited July 12, 2015).</w:t>
      </w:r>
    </w:p>
  </w:endnote>
  <w:endnote w:id="20">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t>21 C.F.R. § 51(a).</w:t>
      </w:r>
    </w:p>
  </w:endnote>
  <w:endnote w:id="21">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t>FDA, Medical Devices, Products and Medical Procedures, Connected Health, Mobile Medical Applications, available at http://www.fda.gov/MedicalDevices/ProductsandMedicalProcedures/ConnectedHealth/MobileMedicalApplications/ucm255978.htm (last visited August 13, 2015).</w:t>
      </w:r>
    </w:p>
  </w:endnote>
  <w:endnote w:id="22">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t>FDA, Medical Devices, Products and Medical Procedures, Connected Health, Mobile Medical Applications, available at http://www.fda.gov/MedicalDevices/ProductsandMedicalProcedures/ConnectedHealth/MobileMedicalApplications/ucm255978.htm (last visited August 13, 2015).</w:t>
      </w:r>
    </w:p>
  </w:endnote>
  <w:endnote w:id="23">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t xml:space="preserve">FDA, Medical Devices, Products and Medical Procedures, Connected Health, Mobile Medical Applications, </w:t>
      </w:r>
      <w:r w:rsidRPr="000E2B10">
        <w:rPr>
          <w:rFonts w:ascii="Arial" w:hAnsi="Arial" w:cs="Arial"/>
          <w:i/>
          <w:sz w:val="22"/>
          <w:szCs w:val="22"/>
        </w:rPr>
        <w:t xml:space="preserve">available at </w:t>
      </w:r>
      <w:r w:rsidRPr="000E2B10">
        <w:rPr>
          <w:rFonts w:ascii="Arial" w:hAnsi="Arial" w:cs="Arial"/>
          <w:sz w:val="22"/>
          <w:szCs w:val="22"/>
        </w:rPr>
        <w:t>http://www.fda.gov/MedicalDevices/ProductsandMedicalProcedures/ConnectedHealth/MobileMedicalApplications/ucm255978.htm (last visited August 13, 2015).</w:t>
      </w:r>
    </w:p>
  </w:endnote>
  <w:endnote w:id="24">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t xml:space="preserve">FDA, Medical Devices, Products and Medical Procedures, Connected Health, Mobile Medical Applications, </w:t>
      </w:r>
      <w:r w:rsidRPr="000E2B10">
        <w:rPr>
          <w:rFonts w:ascii="Arial" w:hAnsi="Arial" w:cs="Arial"/>
          <w:i/>
          <w:sz w:val="22"/>
          <w:szCs w:val="22"/>
        </w:rPr>
        <w:t xml:space="preserve">available at </w:t>
      </w:r>
      <w:r w:rsidRPr="000E2B10">
        <w:rPr>
          <w:rFonts w:ascii="Arial" w:hAnsi="Arial" w:cs="Arial"/>
          <w:sz w:val="22"/>
          <w:szCs w:val="22"/>
        </w:rPr>
        <w:t>http://www.fda.gov/MedicalDevices/ProductsandMedicalProcedures/ConnectedHealth/MobileMedicalApplications/ucm255978.htm (last visited August 13, 2015).</w:t>
      </w:r>
    </w:p>
  </w:endnote>
  <w:endnote w:id="25">
    <w:p w:rsidR="00E7717E" w:rsidRPr="000E2B10" w:rsidRDefault="00E7717E" w:rsidP="00994ED7">
      <w:pPr>
        <w:pStyle w:val="EndnoteText"/>
        <w:spacing w:after="120"/>
        <w:ind w:left="360" w:hanging="360"/>
        <w:rPr>
          <w:rFonts w:ascii="Arial" w:hAnsi="Arial" w:cs="Arial"/>
          <w:sz w:val="22"/>
          <w:szCs w:val="22"/>
        </w:rPr>
      </w:pPr>
      <w:r w:rsidRPr="000E2B10">
        <w:rPr>
          <w:rStyle w:val="EndnoteReference"/>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S.O. Agboola, D.W. Bates, and J.C. Kvedar, "Digital Health and Patient Safety," Journal of the American Medical Association 315, no. 16 (2016): 1697-1698</w:t>
      </w:r>
      <w:r w:rsidR="00EA02F6">
        <w:rPr>
          <w:rFonts w:ascii="Arial" w:hAnsi="Arial" w:cs="Arial"/>
          <w:sz w:val="22"/>
          <w:szCs w:val="22"/>
        </w:rPr>
        <w:t>, DOI: 10.1001/jama2016.1778</w:t>
      </w:r>
      <w:r w:rsidRPr="000E2B10">
        <w:rPr>
          <w:rFonts w:ascii="Arial" w:hAnsi="Arial" w:cs="Arial"/>
          <w:sz w:val="22"/>
          <w:szCs w:val="22"/>
        </w:rPr>
        <w:t>.</w:t>
      </w:r>
    </w:p>
  </w:endnote>
  <w:endnote w:id="26">
    <w:p w:rsidR="00E7717E" w:rsidRPr="000E2B10" w:rsidRDefault="00E7717E" w:rsidP="00994ED7">
      <w:pPr>
        <w:pStyle w:val="EndnoteText"/>
        <w:spacing w:after="120"/>
        <w:ind w:left="360" w:hanging="360"/>
        <w:rPr>
          <w:rFonts w:ascii="Arial" w:hAnsi="Arial" w:cs="Arial"/>
          <w:sz w:val="22"/>
          <w:szCs w:val="22"/>
        </w:rPr>
      </w:pPr>
      <w:r w:rsidRPr="000E2B10">
        <w:rPr>
          <w:rStyle w:val="EndnoteReference"/>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K. Huckvale et al., "Smartphone Apps for Calculating Insulin Dose: A Systematic Review," BMC Medicine 13 (2015): 106</w:t>
      </w:r>
      <w:r w:rsidR="00EA02F6">
        <w:rPr>
          <w:rFonts w:ascii="Arial" w:hAnsi="Arial" w:cs="Arial"/>
          <w:sz w:val="22"/>
          <w:szCs w:val="22"/>
        </w:rPr>
        <w:t>, PMID: 4433091</w:t>
      </w:r>
      <w:r w:rsidRPr="000E2B10">
        <w:rPr>
          <w:rFonts w:ascii="Arial" w:hAnsi="Arial" w:cs="Arial"/>
          <w:sz w:val="22"/>
          <w:szCs w:val="22"/>
        </w:rPr>
        <w:t>.</w:t>
      </w:r>
    </w:p>
  </w:endnote>
  <w:endnote w:id="27">
    <w:p w:rsidR="00E7717E" w:rsidRPr="000E2B10" w:rsidRDefault="00E7717E" w:rsidP="00994ED7">
      <w:pPr>
        <w:pStyle w:val="EndnoteText"/>
        <w:spacing w:after="120"/>
        <w:ind w:left="360" w:hanging="360"/>
        <w:rPr>
          <w:rFonts w:ascii="Arial" w:hAnsi="Arial" w:cs="Arial"/>
          <w:sz w:val="22"/>
          <w:szCs w:val="22"/>
        </w:rPr>
      </w:pPr>
      <w:r w:rsidRPr="000E2B10">
        <w:rPr>
          <w:rStyle w:val="EndnoteReference"/>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A. Pandey et al., "Smartphone Apps as a Source of Cancer Information: Changing Trends in Health Information-Seeking Behavior," Journal of Cancer Education 28 (2013): 138-142.</w:t>
      </w:r>
    </w:p>
  </w:endnote>
  <w:endnote w:id="28">
    <w:p w:rsidR="00E7717E" w:rsidRPr="000E2B10" w:rsidRDefault="00E7717E" w:rsidP="008E594E">
      <w:pPr>
        <w:pStyle w:val="EndnoteText"/>
        <w:spacing w:after="120"/>
        <w:ind w:left="360" w:hanging="360"/>
        <w:rPr>
          <w:rFonts w:ascii="Arial" w:hAnsi="Arial" w:cs="Arial"/>
          <w:sz w:val="22"/>
          <w:szCs w:val="22"/>
        </w:rPr>
      </w:pPr>
      <w:r w:rsidRPr="000E2B10">
        <w:rPr>
          <w:rStyle w:val="EndnoteReference"/>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 xml:space="preserve">Federal Trade Commission, Mobile Health Apps Interactive Tool, </w:t>
      </w:r>
      <w:hyperlink r:id="rId3" w:history="1">
        <w:r w:rsidRPr="000E2B10">
          <w:rPr>
            <w:rStyle w:val="Hyperlink"/>
            <w:rFonts w:ascii="Arial" w:hAnsi="Arial" w:cs="Arial"/>
            <w:color w:val="auto"/>
            <w:sz w:val="22"/>
            <w:szCs w:val="22"/>
            <w:u w:val="none"/>
          </w:rPr>
          <w:t>https://www.ftc.gov/tips-advice/business-  center/guidance/mobile-health-apps-interactive-tool</w:t>
        </w:r>
      </w:hyperlink>
      <w:r w:rsidRPr="000E2B10">
        <w:rPr>
          <w:rFonts w:ascii="Arial" w:hAnsi="Arial" w:cs="Arial"/>
          <w:sz w:val="22"/>
          <w:szCs w:val="22"/>
        </w:rPr>
        <w:t xml:space="preserve"> (last visited April 17, 2016).</w:t>
      </w:r>
    </w:p>
  </w:endnote>
  <w:endnote w:id="29">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sz w:val="22"/>
          <w:szCs w:val="22"/>
        </w:rPr>
        <w:endnoteRef/>
      </w:r>
      <w:r w:rsidRPr="000E2B10">
        <w:rPr>
          <w:rFonts w:ascii="Arial" w:hAnsi="Arial" w:cs="Arial"/>
          <w:sz w:val="22"/>
          <w:szCs w:val="22"/>
        </w:rPr>
        <w:t xml:space="preserve"> </w:t>
      </w:r>
      <w:r w:rsidRPr="000E2B10">
        <w:rPr>
          <w:rFonts w:ascii="Arial" w:hAnsi="Arial" w:cs="Arial"/>
          <w:sz w:val="22"/>
          <w:szCs w:val="22"/>
        </w:rPr>
        <w:tab/>
        <w:t>45 C.F.R. Parts 160, 164.</w:t>
      </w:r>
    </w:p>
  </w:endnote>
  <w:endnote w:id="30">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sz w:val="22"/>
          <w:szCs w:val="22"/>
        </w:rPr>
        <w:endnoteRef/>
      </w:r>
      <w:r w:rsidRPr="000E2B10">
        <w:rPr>
          <w:rFonts w:ascii="Arial" w:hAnsi="Arial" w:cs="Arial"/>
          <w:sz w:val="22"/>
          <w:szCs w:val="22"/>
        </w:rPr>
        <w:t xml:space="preserve"> </w:t>
      </w:r>
      <w:r w:rsidRPr="000E2B10">
        <w:rPr>
          <w:rFonts w:ascii="Arial" w:hAnsi="Arial" w:cs="Arial"/>
          <w:sz w:val="22"/>
          <w:szCs w:val="22"/>
        </w:rPr>
        <w:tab/>
        <w:t>45 C.F.R. § 160.103.</w:t>
      </w:r>
    </w:p>
  </w:endnote>
  <w:endnote w:id="31">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sz w:val="22"/>
          <w:szCs w:val="22"/>
        </w:rPr>
        <w:endnoteRef/>
      </w:r>
      <w:r w:rsidRPr="000E2B10">
        <w:rPr>
          <w:rFonts w:ascii="Arial" w:hAnsi="Arial" w:cs="Arial"/>
          <w:sz w:val="22"/>
          <w:szCs w:val="22"/>
        </w:rPr>
        <w:t xml:space="preserve"> </w:t>
      </w:r>
      <w:r w:rsidRPr="000E2B10">
        <w:rPr>
          <w:rFonts w:ascii="Arial" w:hAnsi="Arial" w:cs="Arial"/>
          <w:sz w:val="22"/>
          <w:szCs w:val="22"/>
        </w:rPr>
        <w:tab/>
        <w:t>45 C.F.R. § 164.508(b).</w:t>
      </w:r>
    </w:p>
  </w:endnote>
  <w:endnote w:id="32">
    <w:p w:rsidR="00E7717E" w:rsidRPr="000E2B10" w:rsidRDefault="00E7717E" w:rsidP="008E594E">
      <w:pPr>
        <w:pStyle w:val="EndnoteText"/>
        <w:spacing w:after="120"/>
        <w:ind w:left="360" w:hanging="360"/>
        <w:rPr>
          <w:rFonts w:ascii="Arial" w:hAnsi="Arial" w:cs="Arial"/>
          <w:sz w:val="22"/>
          <w:szCs w:val="22"/>
        </w:rPr>
      </w:pPr>
      <w:r w:rsidRPr="000E2B10">
        <w:rPr>
          <w:rStyle w:val="EndnoteReference"/>
          <w:sz w:val="22"/>
          <w:szCs w:val="22"/>
        </w:rPr>
        <w:endnoteRef/>
      </w:r>
      <w:r w:rsidRPr="000E2B10">
        <w:rPr>
          <w:rFonts w:ascii="Arial" w:hAnsi="Arial" w:cs="Arial"/>
          <w:sz w:val="22"/>
          <w:szCs w:val="22"/>
        </w:rPr>
        <w:t xml:space="preserve"> </w:t>
      </w:r>
      <w:r w:rsidRPr="000E2B10">
        <w:rPr>
          <w:rFonts w:ascii="Arial" w:hAnsi="Arial" w:cs="Arial"/>
          <w:sz w:val="22"/>
          <w:szCs w:val="22"/>
        </w:rPr>
        <w:tab/>
        <w:t>M.A. Rothstein, J.T. Wilbanks, and K.B. Brothers, "Citizen Science on Your Smartphone: An ELSI Research Agenda," Journal of Law, Medicine &amp; Ethics 43(4) (2015): 897-903</w:t>
      </w:r>
      <w:r w:rsidR="00EA02F6">
        <w:rPr>
          <w:rFonts w:ascii="Arial" w:hAnsi="Arial" w:cs="Arial"/>
          <w:sz w:val="22"/>
          <w:szCs w:val="22"/>
        </w:rPr>
        <w:t>, DOI: 10.1111/jlme12327</w:t>
      </w:r>
      <w:r w:rsidRPr="000E2B10">
        <w:rPr>
          <w:rFonts w:ascii="Arial" w:hAnsi="Arial" w:cs="Arial"/>
          <w:sz w:val="22"/>
          <w:szCs w:val="22"/>
        </w:rPr>
        <w:t>.</w:t>
      </w:r>
    </w:p>
  </w:endnote>
  <w:endnote w:id="33">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vertAlign w:val="subscript"/>
        </w:rPr>
        <w:endnoteRef/>
      </w:r>
      <w:r w:rsidRPr="000E2B10">
        <w:rPr>
          <w:rFonts w:ascii="Arial" w:hAnsi="Arial" w:cs="Arial"/>
          <w:sz w:val="22"/>
          <w:szCs w:val="22"/>
        </w:rPr>
        <w:t xml:space="preserve"> </w:t>
      </w:r>
      <w:r w:rsidRPr="000E2B10">
        <w:rPr>
          <w:rFonts w:ascii="Arial" w:hAnsi="Arial" w:cs="Arial"/>
          <w:sz w:val="22"/>
          <w:szCs w:val="22"/>
        </w:rPr>
        <w:tab/>
        <w:t>See World Medical Association, Declaration of Helsinki – Ethical Principles for Medical Research Involving Human Subjects (1964), as amended (2013), http://www.wma.net/en/30publications/10policies/b3/ (last visited August 7, 2015).</w:t>
      </w:r>
    </w:p>
  </w:endnote>
  <w:endnote w:id="34">
    <w:p w:rsidR="00E7717E" w:rsidRPr="000E2B10" w:rsidRDefault="00E7717E" w:rsidP="00982340">
      <w:pPr>
        <w:pStyle w:val="EndnoteText"/>
        <w:spacing w:after="120"/>
        <w:ind w:left="360" w:hanging="360"/>
        <w:rPr>
          <w:rFonts w:ascii="Arial" w:hAnsi="Arial" w:cs="Arial"/>
          <w:sz w:val="22"/>
          <w:szCs w:val="22"/>
        </w:rPr>
      </w:pPr>
      <w:r w:rsidRPr="000E2B10">
        <w:rPr>
          <w:rStyle w:val="EndnoteReference"/>
          <w:rFonts w:ascii="Arial" w:hAnsi="Arial" w:cs="Arial"/>
          <w:sz w:val="22"/>
          <w:szCs w:val="22"/>
          <w:vertAlign w:val="subscript"/>
        </w:rPr>
        <w:endnoteRef/>
      </w:r>
      <w:r w:rsidRPr="000E2B10">
        <w:rPr>
          <w:rFonts w:ascii="Arial" w:hAnsi="Arial" w:cs="Arial"/>
          <w:sz w:val="22"/>
          <w:szCs w:val="22"/>
        </w:rPr>
        <w:t xml:space="preserve"> </w:t>
      </w:r>
      <w:r w:rsidRPr="000E2B10">
        <w:rPr>
          <w:rFonts w:ascii="Arial" w:hAnsi="Arial" w:cs="Arial"/>
          <w:sz w:val="22"/>
          <w:szCs w:val="22"/>
        </w:rPr>
        <w:tab/>
      </w:r>
      <w:hyperlink r:id="rId4" w:history="1">
        <w:r w:rsidRPr="000E2B10">
          <w:rPr>
            <w:rStyle w:val="Hyperlink"/>
            <w:rFonts w:ascii="Arial" w:hAnsi="Arial" w:cs="Arial"/>
            <w:color w:val="auto"/>
            <w:sz w:val="22"/>
            <w:szCs w:val="22"/>
            <w:u w:val="none"/>
          </w:rPr>
          <w:t>https://genomicsandhealth.org/members</w:t>
        </w:r>
      </w:hyperlink>
      <w:r w:rsidRPr="000E2B10">
        <w:rPr>
          <w:rFonts w:ascii="Arial" w:hAnsi="Arial" w:cs="Arial"/>
          <w:sz w:val="22"/>
          <w:szCs w:val="22"/>
        </w:rPr>
        <w:t xml:space="preserve"> (last visited April 15, 2016).</w:t>
      </w:r>
    </w:p>
  </w:endnote>
  <w:endnote w:id="35">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vertAlign w:val="subscript"/>
        </w:rPr>
        <w:endnoteRef/>
      </w:r>
      <w:r w:rsidRPr="000E2B10">
        <w:rPr>
          <w:rFonts w:ascii="Arial" w:hAnsi="Arial" w:cs="Arial"/>
          <w:sz w:val="22"/>
          <w:szCs w:val="22"/>
        </w:rPr>
        <w:t xml:space="preserve"> </w:t>
      </w:r>
      <w:r w:rsidRPr="000E2B10">
        <w:rPr>
          <w:rFonts w:ascii="Arial" w:hAnsi="Arial" w:cs="Arial"/>
          <w:sz w:val="22"/>
          <w:szCs w:val="22"/>
        </w:rPr>
        <w:tab/>
        <w:t>See A. VanderWalde and S. Kurzban, "Paying Human Subjects in Research: Where Are We, How Did We Get Here, and Now What?" Journal of Law, Medicine &amp; Ethics 39, no. 3 (2011): 543-558, PMID: 21871049.</w:t>
      </w:r>
    </w:p>
  </w:endnote>
  <w:endnote w:id="36">
    <w:p w:rsidR="00E7717E" w:rsidRPr="000E2B10" w:rsidRDefault="00E7717E" w:rsidP="0017315C">
      <w:pPr>
        <w:pStyle w:val="EndnoteText"/>
        <w:tabs>
          <w:tab w:val="left" w:pos="720"/>
          <w:tab w:val="left" w:pos="1440"/>
          <w:tab w:val="left" w:pos="2160"/>
          <w:tab w:val="left" w:pos="3140"/>
        </w:tabs>
        <w:spacing w:after="120"/>
        <w:ind w:left="360" w:hanging="360"/>
        <w:rPr>
          <w:rFonts w:ascii="Arial" w:hAnsi="Arial" w:cs="Arial"/>
          <w:sz w:val="22"/>
          <w:szCs w:val="22"/>
        </w:rPr>
      </w:pPr>
      <w:r w:rsidRPr="000E2B10">
        <w:rPr>
          <w:rStyle w:val="EndnoteReference"/>
          <w:rFonts w:ascii="Arial" w:hAnsi="Arial" w:cs="Arial"/>
          <w:sz w:val="22"/>
          <w:szCs w:val="22"/>
          <w:vertAlign w:val="subscript"/>
        </w:rPr>
        <w:endnoteRef/>
      </w:r>
      <w:r w:rsidRPr="000E2B10">
        <w:rPr>
          <w:rFonts w:ascii="Arial" w:hAnsi="Arial" w:cs="Arial"/>
          <w:sz w:val="22"/>
          <w:szCs w:val="22"/>
        </w:rPr>
        <w:t xml:space="preserve"> </w:t>
      </w:r>
      <w:r w:rsidRPr="000E2B10">
        <w:rPr>
          <w:rFonts w:ascii="Arial" w:hAnsi="Arial" w:cs="Arial"/>
          <w:sz w:val="22"/>
          <w:szCs w:val="22"/>
        </w:rPr>
        <w:tab/>
        <w:t>C.M.E. Halvorson and L.F. Ross, "Incidental Findings of Therapeutic Misconception in Biobank-Based Research," Genetics in Medicine 14, no. 6 (2012): 611-615, PMID: 22261760, PMCID: PMC4251740; R.D. Pentz et al., "Therapeutic Misconception, Misestimation, and Optimism in Participants Enrolled in Phase 1 Trials," Cancer 118, no. 18 (2012): 4571-4578, PMID: 22294385, PMCID: PMC3342458; .G. Koch, "PGTandMe: Social Networking-Based Genetic Testing and the Evolving Research Model," Health Matrix 22, no. 1 (2012): 33-74.</w:t>
      </w:r>
    </w:p>
  </w:endnote>
  <w:endnote w:id="37">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vertAlign w:val="subscript"/>
        </w:rPr>
        <w:endnoteRef/>
      </w:r>
      <w:r w:rsidRPr="000E2B10">
        <w:rPr>
          <w:rFonts w:ascii="Arial" w:hAnsi="Arial" w:cs="Arial"/>
          <w:sz w:val="22"/>
          <w:szCs w:val="22"/>
        </w:rPr>
        <w:t xml:space="preserve"> </w:t>
      </w:r>
      <w:r w:rsidRPr="000E2B10">
        <w:rPr>
          <w:rFonts w:ascii="Arial" w:hAnsi="Arial" w:cs="Arial"/>
          <w:sz w:val="22"/>
          <w:szCs w:val="22"/>
        </w:rPr>
        <w:tab/>
        <w:t>S.M. Fullerton, "The Input-Output Problem: Whose DNA Do We Study, and Why Does It Matter?" In W. Burke, K.A. Edwards, and S. Goering, eds., Achieving Justice in Genomic Translation: Re-thinking the Pathway to Benefit. (New York: Oxford University Press, 2011): at 40-55.</w:t>
      </w:r>
    </w:p>
  </w:endnote>
  <w:endnote w:id="38">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vertAlign w:val="subscript"/>
        </w:rPr>
        <w:endnoteRef/>
      </w:r>
      <w:r w:rsidRPr="000E2B10">
        <w:rPr>
          <w:rFonts w:ascii="Arial" w:hAnsi="Arial" w:cs="Arial"/>
          <w:sz w:val="22"/>
          <w:szCs w:val="22"/>
        </w:rPr>
        <w:t xml:space="preserve"> </w:t>
      </w:r>
      <w:r w:rsidRPr="000E2B10">
        <w:rPr>
          <w:rFonts w:ascii="Arial" w:hAnsi="Arial" w:cs="Arial"/>
          <w:sz w:val="22"/>
          <w:szCs w:val="22"/>
        </w:rPr>
        <w:tab/>
        <w:t>S.M. Fullerton, "The Input-Output Problem: Whose DNA Do We Study, and Why Does It Matter?" In W. Burke, K.A. Edwards, and S. Goering, eds., Achieving Justice in Genomic Translation: Re-thinking the Pathway to Benefit. (New York: Oxford University Press, 2011): at 40-55.</w:t>
      </w:r>
    </w:p>
  </w:endnote>
  <w:endnote w:id="39">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vertAlign w:val="subscript"/>
        </w:rPr>
        <w:endnoteRef/>
      </w:r>
      <w:r w:rsidRPr="000E2B10">
        <w:rPr>
          <w:rFonts w:ascii="Arial" w:hAnsi="Arial" w:cs="Arial"/>
          <w:sz w:val="22"/>
          <w:szCs w:val="22"/>
        </w:rPr>
        <w:t xml:space="preserve"> </w:t>
      </w:r>
      <w:r w:rsidRPr="000E2B10">
        <w:rPr>
          <w:rFonts w:ascii="Arial" w:hAnsi="Arial" w:cs="Arial"/>
          <w:sz w:val="22"/>
          <w:szCs w:val="22"/>
        </w:rPr>
        <w:tab/>
        <w:t>Pew Research Center, Mobile Technology Fact Sheet (2015), available at http://www.pewinternet.org/fact-sheets/mobile-technology-fact-sheet (last visited August 3, 2015).</w:t>
      </w:r>
    </w:p>
  </w:endnote>
  <w:endnote w:id="40">
    <w:p w:rsidR="00E7717E" w:rsidRPr="000E2B10" w:rsidRDefault="00E7717E" w:rsidP="00250A82">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t>J.E.F. Teitcher, "Detecting, Preventing, and Responding to 'Fraudsters' in Internet Research," Journal of Law,   Medicine &amp; Ethics 43, no. 1 (2015): 116-133, PMID: 25846043.</w:t>
      </w:r>
    </w:p>
  </w:endnote>
  <w:endnote w:id="41">
    <w:p w:rsidR="00E7717E" w:rsidRPr="000E2B10" w:rsidRDefault="00E7717E" w:rsidP="00FD051B">
      <w:pPr>
        <w:pStyle w:val="EndnoteText"/>
        <w:spacing w:after="120"/>
        <w:ind w:left="360" w:hanging="360"/>
        <w:rPr>
          <w:rFonts w:ascii="Arial" w:hAnsi="Arial" w:cs="Arial"/>
          <w:sz w:val="22"/>
          <w:szCs w:val="22"/>
        </w:rPr>
      </w:pPr>
      <w:r w:rsidRPr="000E2B10">
        <w:rPr>
          <w:rStyle w:val="EndnoteReference"/>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E. Vayena, A. Mastroianni, and J. Kahn, "Caught in the Web: Informed Consent for Online Health Research," Science Translational Medicine 5, no. 173 (2013): 1-3; E. Vayena, A. Mastroianni, and J. Kahn, "Ethical Issues in Health Research with Novel Online Sources," American Journal of Public Health 102, no. 12 (2012): 2225-2230</w:t>
      </w:r>
      <w:r w:rsidR="00EA02F6">
        <w:rPr>
          <w:rFonts w:ascii="Arial" w:hAnsi="Arial" w:cs="Arial"/>
          <w:sz w:val="22"/>
          <w:szCs w:val="22"/>
        </w:rPr>
        <w:t>, DOI: 10.2105/AJPH.2012.300813</w:t>
      </w:r>
      <w:r w:rsidRPr="000E2B10">
        <w:rPr>
          <w:rFonts w:ascii="Arial" w:hAnsi="Arial" w:cs="Arial"/>
          <w:sz w:val="22"/>
          <w:szCs w:val="22"/>
        </w:rPr>
        <w:t>.</w:t>
      </w:r>
    </w:p>
  </w:endnote>
  <w:endnote w:id="42">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t>45 C.F.R. § 46.111(a)(7); J.G. White, "Physicians' Liability for Breach of Confidentiality: Beyond the Limitations of the Privacy Tort," South Carolina Law Review 49, no. 4 (1998): 1271-1276.</w:t>
      </w:r>
    </w:p>
  </w:endnote>
  <w:endnote w:id="43">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t>K.B. Brothers et al., "Practical Guidance on Informed Consent for Pediatric Participants in a Biorepository," Mayo Clinic Proceedings 89, no. 11 (2014): 1471-1480, PMID: 25264176, PMCID: PMC4254313.</w:t>
      </w:r>
    </w:p>
  </w:endnote>
  <w:endnote w:id="44">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t>See, e.g., R.R. Fabsitz et al., "Ethical and Practical Guidelines for Reporting Genetic Research Results to Study Participants: Updated Guidelines from a National Heart, Lung, and Blood Institute Working Group," Circulation and Cardiovascular Genetics 3, no. 6 (2010): 574-580, PMID: 21156933, PMCID: PMC3090664; S.M. Wolf et al., "Managing Incidental Findings and Research Results in Genomic Research Involving Biobanks and Archived Data Sets," Genetics in Medicine 14, no. 4 (2012): 361-384, PMID: 22436882, PMCID: PMC3597341.</w:t>
      </w:r>
    </w:p>
  </w:endnote>
  <w:endnote w:id="45">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t>National Institutes of Health, NIH Sharing Policies and Related Guidance on NIH-Funded Research Resources, http://grants.nih.gov/grants/sharing.htm (last visited July 15, 2015).</w:t>
      </w:r>
    </w:p>
  </w:endnote>
  <w:endnote w:id="46">
    <w:p w:rsidR="00E7717E" w:rsidRPr="000E2B10" w:rsidRDefault="00E7717E" w:rsidP="00734D9A">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t>J. Grimmelmann, "The Law and Ethics of Experiments on Social Media Users," Colorado Technology Law Journal 13, no. 1 (2015): 219-271.</w:t>
      </w:r>
    </w:p>
  </w:endnote>
  <w:endnote w:id="47">
    <w:p w:rsidR="00864CEA" w:rsidRPr="000E2B10" w:rsidRDefault="00864CEA" w:rsidP="000E2B10">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000E2B10" w:rsidRPr="000E2B10">
        <w:rPr>
          <w:rFonts w:ascii="Arial" w:hAnsi="Arial" w:cs="Arial"/>
          <w:sz w:val="22"/>
          <w:szCs w:val="22"/>
        </w:rPr>
        <w:tab/>
      </w:r>
      <w:r w:rsidRPr="000E2B10">
        <w:rPr>
          <w:rFonts w:ascii="Arial" w:hAnsi="Arial" w:cs="Arial"/>
          <w:sz w:val="22"/>
          <w:szCs w:val="22"/>
        </w:rPr>
        <w:t>Precision Medicine Initiate (PMI) Working Group Report to the Advisory Committee to the Director, NIH, The Precision Medicine Initiative Cohort Program – Building a Research Foundation for 21st Century Medicine (2015): 2.</w:t>
      </w:r>
    </w:p>
  </w:endnote>
  <w:endnote w:id="48">
    <w:p w:rsidR="00E7717E" w:rsidRPr="000E2B10" w:rsidRDefault="00E7717E" w:rsidP="00313AAD">
      <w:pPr>
        <w:pStyle w:val="EndnoteText"/>
        <w:spacing w:after="120"/>
        <w:ind w:left="360" w:hanging="360"/>
        <w:rPr>
          <w:sz w:val="22"/>
          <w:szCs w:val="22"/>
        </w:rPr>
      </w:pPr>
      <w:r w:rsidRPr="000E2B10">
        <w:rPr>
          <w:rStyle w:val="EndnoteReference"/>
          <w:rFonts w:ascii="Arial" w:hAnsi="Arial" w:cs="Arial"/>
          <w:sz w:val="22"/>
          <w:szCs w:val="22"/>
        </w:rPr>
        <w:endnoteRef/>
      </w:r>
      <w:r w:rsidRPr="000E2B10">
        <w:rPr>
          <w:sz w:val="22"/>
          <w:szCs w:val="22"/>
        </w:rPr>
        <w:t xml:space="preserve"> </w:t>
      </w:r>
      <w:r w:rsidRPr="000E2B10">
        <w:rPr>
          <w:sz w:val="22"/>
          <w:szCs w:val="22"/>
        </w:rPr>
        <w:tab/>
      </w:r>
      <w:r w:rsidR="008C0C70" w:rsidRPr="000E2B10">
        <w:rPr>
          <w:rFonts w:ascii="Arial" w:hAnsi="Arial" w:cs="Arial"/>
          <w:noProof/>
          <w:sz w:val="22"/>
          <w:szCs w:val="22"/>
        </w:rPr>
        <w:t xml:space="preserve">G. Guest, E.E. Namey, and M.L. Mitchell, </w:t>
      </w:r>
      <w:r w:rsidR="007277E9" w:rsidRPr="000E2B10">
        <w:rPr>
          <w:rFonts w:ascii="Arial" w:hAnsi="Arial" w:cs="Arial"/>
          <w:noProof/>
          <w:sz w:val="22"/>
          <w:szCs w:val="22"/>
        </w:rPr>
        <w:t>Collecting Q</w:t>
      </w:r>
      <w:r w:rsidR="008C0C70" w:rsidRPr="000E2B10">
        <w:rPr>
          <w:rFonts w:ascii="Arial" w:hAnsi="Arial" w:cs="Arial"/>
          <w:noProof/>
          <w:sz w:val="22"/>
          <w:szCs w:val="22"/>
        </w:rPr>
        <w:t xml:space="preserve">ualitative </w:t>
      </w:r>
      <w:r w:rsidR="007277E9" w:rsidRPr="000E2B10">
        <w:rPr>
          <w:rFonts w:ascii="Arial" w:hAnsi="Arial" w:cs="Arial"/>
          <w:noProof/>
          <w:sz w:val="22"/>
          <w:szCs w:val="22"/>
        </w:rPr>
        <w:t>D</w:t>
      </w:r>
      <w:r w:rsidR="008C0C70" w:rsidRPr="000E2B10">
        <w:rPr>
          <w:rFonts w:ascii="Arial" w:hAnsi="Arial" w:cs="Arial"/>
          <w:noProof/>
          <w:sz w:val="22"/>
          <w:szCs w:val="22"/>
        </w:rPr>
        <w:t xml:space="preserve">ata : </w:t>
      </w:r>
      <w:r w:rsidR="007277E9" w:rsidRPr="000E2B10">
        <w:rPr>
          <w:rFonts w:ascii="Arial" w:hAnsi="Arial" w:cs="Arial"/>
          <w:noProof/>
          <w:sz w:val="22"/>
          <w:szCs w:val="22"/>
        </w:rPr>
        <w:t>A</w:t>
      </w:r>
      <w:r w:rsidR="008C0C70" w:rsidRPr="000E2B10">
        <w:rPr>
          <w:rFonts w:ascii="Arial" w:hAnsi="Arial" w:cs="Arial"/>
          <w:noProof/>
          <w:sz w:val="22"/>
          <w:szCs w:val="22"/>
        </w:rPr>
        <w:t xml:space="preserve"> </w:t>
      </w:r>
      <w:r w:rsidR="007277E9" w:rsidRPr="000E2B10">
        <w:rPr>
          <w:rFonts w:ascii="Arial" w:hAnsi="Arial" w:cs="Arial"/>
          <w:noProof/>
          <w:sz w:val="22"/>
          <w:szCs w:val="22"/>
        </w:rPr>
        <w:t>Field M</w:t>
      </w:r>
      <w:r w:rsidR="008C0C70" w:rsidRPr="000E2B10">
        <w:rPr>
          <w:rFonts w:ascii="Arial" w:hAnsi="Arial" w:cs="Arial"/>
          <w:noProof/>
          <w:sz w:val="22"/>
          <w:szCs w:val="22"/>
        </w:rPr>
        <w:t xml:space="preserve">anual for </w:t>
      </w:r>
      <w:r w:rsidR="007277E9" w:rsidRPr="000E2B10">
        <w:rPr>
          <w:rFonts w:ascii="Arial" w:hAnsi="Arial" w:cs="Arial"/>
          <w:noProof/>
          <w:sz w:val="22"/>
          <w:szCs w:val="22"/>
        </w:rPr>
        <w:t>Applied R</w:t>
      </w:r>
      <w:r w:rsidR="008C0C70" w:rsidRPr="000E2B10">
        <w:rPr>
          <w:rFonts w:ascii="Arial" w:hAnsi="Arial" w:cs="Arial"/>
          <w:noProof/>
          <w:sz w:val="22"/>
          <w:szCs w:val="22"/>
        </w:rPr>
        <w:t>esearch. (Thousand Oaks, CA: Sage Publications, 2013); E. Namey et al. "Evaluating Bang for the Buck: A Cost-Effectiveness Comparison Between Individual Interviews and Focus Groups Based on Thematic Saturation Levels," American Journal of Evaluation</w:t>
      </w:r>
      <w:r w:rsidR="008C0C70" w:rsidRPr="000E2B10">
        <w:rPr>
          <w:rFonts w:ascii="Arial" w:hAnsi="Arial" w:cs="Arial"/>
          <w:i/>
          <w:noProof/>
          <w:sz w:val="22"/>
          <w:szCs w:val="22"/>
        </w:rPr>
        <w:t>.</w:t>
      </w:r>
      <w:r w:rsidR="008C0C70" w:rsidRPr="000E2B10">
        <w:rPr>
          <w:rFonts w:ascii="Arial" w:hAnsi="Arial" w:cs="Arial"/>
          <w:noProof/>
          <w:sz w:val="22"/>
          <w:szCs w:val="22"/>
        </w:rPr>
        <w:t xml:space="preserve"> </w:t>
      </w:r>
      <w:r w:rsidR="00B4560A" w:rsidRPr="000E2B10">
        <w:rPr>
          <w:rFonts w:ascii="Arial" w:hAnsi="Arial" w:cs="Arial"/>
          <w:noProof/>
          <w:sz w:val="22"/>
          <w:szCs w:val="22"/>
        </w:rPr>
        <w:t>(</w:t>
      </w:r>
      <w:r w:rsidR="008C0C70" w:rsidRPr="000E2B10">
        <w:rPr>
          <w:rFonts w:ascii="Arial" w:hAnsi="Arial" w:cs="Arial"/>
          <w:noProof/>
          <w:sz w:val="22"/>
          <w:szCs w:val="22"/>
        </w:rPr>
        <w:t>2016</w:t>
      </w:r>
      <w:r w:rsidR="00B4560A" w:rsidRPr="000E2B10">
        <w:rPr>
          <w:rFonts w:ascii="Arial" w:hAnsi="Arial" w:cs="Arial"/>
          <w:noProof/>
          <w:sz w:val="22"/>
          <w:szCs w:val="22"/>
        </w:rPr>
        <w:t>)</w:t>
      </w:r>
      <w:r w:rsidR="007277E9" w:rsidRPr="000E2B10">
        <w:rPr>
          <w:rFonts w:ascii="Arial" w:hAnsi="Arial" w:cs="Arial"/>
          <w:noProof/>
          <w:sz w:val="22"/>
          <w:szCs w:val="22"/>
        </w:rPr>
        <w:t>; 1-16; G. Guest, A. Bunce, and L. Johnson, "How Many Interviews Are Enough? An Experiment with Data Saturation and Variability. Field Methods 18, no.1 (2006): 59-82.</w:t>
      </w:r>
    </w:p>
  </w:endnote>
  <w:endnote w:id="49">
    <w:p w:rsidR="00E7717E" w:rsidRPr="000E2B10" w:rsidRDefault="00E7717E" w:rsidP="00313AAD">
      <w:pPr>
        <w:pStyle w:val="EndnoteText"/>
        <w:spacing w:after="120"/>
        <w:ind w:left="360" w:hanging="360"/>
        <w:rPr>
          <w:sz w:val="22"/>
          <w:szCs w:val="22"/>
        </w:rPr>
      </w:pPr>
      <w:r w:rsidRPr="000E2B10">
        <w:rPr>
          <w:rStyle w:val="EndnoteReference"/>
          <w:rFonts w:ascii="Arial" w:hAnsi="Arial" w:cs="Arial"/>
          <w:sz w:val="22"/>
          <w:szCs w:val="22"/>
        </w:rPr>
        <w:endnoteRef/>
      </w:r>
      <w:r w:rsidRPr="000E2B10">
        <w:rPr>
          <w:sz w:val="22"/>
          <w:szCs w:val="22"/>
        </w:rPr>
        <w:t xml:space="preserve"> </w:t>
      </w:r>
      <w:r w:rsidRPr="000E2B10">
        <w:rPr>
          <w:sz w:val="22"/>
          <w:szCs w:val="22"/>
        </w:rPr>
        <w:tab/>
      </w:r>
      <w:r w:rsidR="008C0C70" w:rsidRPr="000E2B10">
        <w:rPr>
          <w:rFonts w:ascii="Arial" w:hAnsi="Arial" w:cs="Arial"/>
          <w:noProof/>
          <w:sz w:val="22"/>
          <w:szCs w:val="22"/>
        </w:rPr>
        <w:t>G. Nasi, M. Cucciniello, and C. Guerrazz, "The Role of Mobile Technologies in Health Care Processes: The Case of Cancer Supportive Care</w:t>
      </w:r>
      <w:r w:rsidR="008C0C70" w:rsidRPr="000E2B10">
        <w:rPr>
          <w:rFonts w:ascii="Arial" w:hAnsi="Arial" w:cs="Arial"/>
          <w:i/>
          <w:noProof/>
          <w:sz w:val="22"/>
          <w:szCs w:val="22"/>
        </w:rPr>
        <w:t xml:space="preserve">,  </w:t>
      </w:r>
      <w:r w:rsidR="008C0C70" w:rsidRPr="000E2B10">
        <w:rPr>
          <w:rFonts w:ascii="Arial" w:hAnsi="Arial" w:cs="Arial"/>
          <w:noProof/>
          <w:sz w:val="22"/>
          <w:szCs w:val="22"/>
        </w:rPr>
        <w:t>Journal of Medical Internet Research 17, no. 2 (2015): e26; B. Odeh et al., "Optimizing Cancer Care through Mobile Health," Support Care Cancer 23, no. 7 (2015): 2183-2188</w:t>
      </w:r>
      <w:r w:rsidR="007277E9" w:rsidRPr="000E2B10">
        <w:rPr>
          <w:rFonts w:ascii="Arial" w:hAnsi="Arial" w:cs="Arial"/>
          <w:noProof/>
          <w:sz w:val="22"/>
          <w:szCs w:val="22"/>
        </w:rPr>
        <w:t xml:space="preserve">; J.L. Bender et al., "A Lot of Action, but Not in the Right Direction: Systematic Review and Content Analysis of Smartphone Applications for the Prevention, Detection, and Management of Cancer," Journal of Medical Internet Research 15, no. 12 (2013): e287. </w:t>
      </w:r>
    </w:p>
  </w:endnote>
  <w:endnote w:id="50">
    <w:p w:rsidR="00E7717E" w:rsidRPr="000E2B10" w:rsidRDefault="00E7717E" w:rsidP="00313AAD">
      <w:pPr>
        <w:pStyle w:val="EndnoteText"/>
        <w:spacing w:after="120"/>
        <w:ind w:left="360" w:hanging="360"/>
        <w:rPr>
          <w:sz w:val="22"/>
          <w:szCs w:val="22"/>
        </w:rPr>
      </w:pPr>
      <w:r w:rsidRPr="000E2B10">
        <w:rPr>
          <w:rStyle w:val="EndnoteReference"/>
          <w:rFonts w:ascii="Arial" w:hAnsi="Arial" w:cs="Arial"/>
          <w:sz w:val="22"/>
          <w:szCs w:val="22"/>
        </w:rPr>
        <w:endnoteRef/>
      </w:r>
      <w:r w:rsidRPr="000E2B10">
        <w:rPr>
          <w:sz w:val="22"/>
          <w:szCs w:val="22"/>
        </w:rPr>
        <w:t xml:space="preserve"> </w:t>
      </w:r>
      <w:r w:rsidRPr="000E2B10">
        <w:rPr>
          <w:sz w:val="22"/>
          <w:szCs w:val="22"/>
        </w:rPr>
        <w:tab/>
      </w:r>
      <w:r w:rsidR="006031C2" w:rsidRPr="000E2B10">
        <w:rPr>
          <w:rFonts w:ascii="Arial" w:hAnsi="Arial" w:cs="Arial"/>
          <w:noProof/>
          <w:sz w:val="22"/>
          <w:szCs w:val="22"/>
        </w:rPr>
        <w:t>K. M</w:t>
      </w:r>
      <w:r w:rsidRPr="000E2B10">
        <w:rPr>
          <w:rFonts w:ascii="Arial" w:hAnsi="Arial" w:cs="Arial"/>
          <w:noProof/>
          <w:sz w:val="22"/>
          <w:szCs w:val="22"/>
        </w:rPr>
        <w:t xml:space="preserve">acQueen </w:t>
      </w:r>
      <w:r w:rsidR="006031C2" w:rsidRPr="000E2B10">
        <w:rPr>
          <w:rFonts w:ascii="Arial" w:hAnsi="Arial" w:cs="Arial"/>
          <w:noProof/>
          <w:sz w:val="22"/>
          <w:szCs w:val="22"/>
        </w:rPr>
        <w:t>et al.</w:t>
      </w:r>
      <w:r w:rsidRPr="000E2B10">
        <w:rPr>
          <w:rFonts w:ascii="Arial" w:hAnsi="Arial" w:cs="Arial"/>
          <w:noProof/>
          <w:sz w:val="22"/>
          <w:szCs w:val="22"/>
        </w:rPr>
        <w:t xml:space="preserve">, </w:t>
      </w:r>
      <w:r w:rsidR="006031C2" w:rsidRPr="000E2B10">
        <w:rPr>
          <w:rFonts w:ascii="Arial" w:hAnsi="Arial" w:cs="Arial"/>
          <w:noProof/>
          <w:sz w:val="22"/>
          <w:szCs w:val="22"/>
        </w:rPr>
        <w:t>"</w:t>
      </w:r>
      <w:r w:rsidRPr="000E2B10">
        <w:rPr>
          <w:rFonts w:ascii="Arial" w:hAnsi="Arial" w:cs="Arial"/>
          <w:noProof/>
          <w:sz w:val="22"/>
          <w:szCs w:val="22"/>
        </w:rPr>
        <w:t xml:space="preserve">Codebook </w:t>
      </w:r>
      <w:r w:rsidR="006031C2" w:rsidRPr="000E2B10">
        <w:rPr>
          <w:rFonts w:ascii="Arial" w:hAnsi="Arial" w:cs="Arial"/>
          <w:noProof/>
          <w:sz w:val="22"/>
          <w:szCs w:val="22"/>
        </w:rPr>
        <w:t>D</w:t>
      </w:r>
      <w:r w:rsidRPr="000E2B10">
        <w:rPr>
          <w:rFonts w:ascii="Arial" w:hAnsi="Arial" w:cs="Arial"/>
          <w:noProof/>
          <w:sz w:val="22"/>
          <w:szCs w:val="22"/>
        </w:rPr>
        <w:t xml:space="preserve">evelopment for </w:t>
      </w:r>
      <w:r w:rsidR="006031C2" w:rsidRPr="000E2B10">
        <w:rPr>
          <w:rFonts w:ascii="Arial" w:hAnsi="Arial" w:cs="Arial"/>
          <w:noProof/>
          <w:sz w:val="22"/>
          <w:szCs w:val="22"/>
        </w:rPr>
        <w:t>Team-based Qualitative A</w:t>
      </w:r>
      <w:r w:rsidRPr="000E2B10">
        <w:rPr>
          <w:rFonts w:ascii="Arial" w:hAnsi="Arial" w:cs="Arial"/>
          <w:noProof/>
          <w:sz w:val="22"/>
          <w:szCs w:val="22"/>
        </w:rPr>
        <w:t>nalysis</w:t>
      </w:r>
      <w:r w:rsidR="006031C2" w:rsidRPr="000E2B10">
        <w:rPr>
          <w:rFonts w:ascii="Arial" w:hAnsi="Arial" w:cs="Arial"/>
          <w:noProof/>
          <w:sz w:val="22"/>
          <w:szCs w:val="22"/>
        </w:rPr>
        <w:t xml:space="preserve">, </w:t>
      </w:r>
      <w:r w:rsidRPr="000E2B10">
        <w:rPr>
          <w:rFonts w:ascii="Arial" w:hAnsi="Arial" w:cs="Arial"/>
          <w:noProof/>
          <w:sz w:val="22"/>
          <w:szCs w:val="22"/>
        </w:rPr>
        <w:t>Cultural Anthropology Methods</w:t>
      </w:r>
      <w:r w:rsidR="006031C2" w:rsidRPr="000E2B10">
        <w:rPr>
          <w:rFonts w:ascii="Arial" w:hAnsi="Arial" w:cs="Arial"/>
          <w:noProof/>
          <w:sz w:val="22"/>
          <w:szCs w:val="22"/>
        </w:rPr>
        <w:t xml:space="preserve"> 10, no. 2 (1</w:t>
      </w:r>
      <w:r w:rsidRPr="000E2B10">
        <w:rPr>
          <w:rFonts w:ascii="Arial" w:hAnsi="Arial" w:cs="Arial"/>
          <w:noProof/>
          <w:sz w:val="22"/>
          <w:szCs w:val="22"/>
        </w:rPr>
        <w:t>998):</w:t>
      </w:r>
      <w:r w:rsidR="006031C2" w:rsidRPr="000E2B10">
        <w:rPr>
          <w:rFonts w:ascii="Arial" w:hAnsi="Arial" w:cs="Arial"/>
          <w:noProof/>
          <w:sz w:val="22"/>
          <w:szCs w:val="22"/>
        </w:rPr>
        <w:t xml:space="preserve"> </w:t>
      </w:r>
      <w:r w:rsidRPr="000E2B10">
        <w:rPr>
          <w:rFonts w:ascii="Arial" w:hAnsi="Arial" w:cs="Arial"/>
          <w:noProof/>
          <w:sz w:val="22"/>
          <w:szCs w:val="22"/>
        </w:rPr>
        <w:t>31-36.</w:t>
      </w:r>
    </w:p>
  </w:endnote>
  <w:endnote w:id="51">
    <w:p w:rsidR="00E7717E" w:rsidRPr="000E2B10" w:rsidRDefault="00E7717E" w:rsidP="00313AAD">
      <w:pPr>
        <w:pStyle w:val="EndnoteText"/>
        <w:spacing w:after="120"/>
        <w:ind w:left="360" w:hanging="360"/>
        <w:rPr>
          <w:sz w:val="22"/>
          <w:szCs w:val="22"/>
        </w:rPr>
      </w:pPr>
      <w:r w:rsidRPr="000E2B10">
        <w:rPr>
          <w:rStyle w:val="EndnoteReference"/>
          <w:rFonts w:ascii="Arial" w:hAnsi="Arial" w:cs="Arial"/>
          <w:sz w:val="22"/>
          <w:szCs w:val="22"/>
        </w:rPr>
        <w:endnoteRef/>
      </w:r>
      <w:r w:rsidRPr="000E2B10">
        <w:rPr>
          <w:sz w:val="22"/>
          <w:szCs w:val="22"/>
        </w:rPr>
        <w:t xml:space="preserve"> </w:t>
      </w:r>
      <w:r w:rsidRPr="000E2B10">
        <w:rPr>
          <w:sz w:val="22"/>
          <w:szCs w:val="22"/>
        </w:rPr>
        <w:tab/>
      </w:r>
      <w:r w:rsidR="006031C2" w:rsidRPr="000E2B10">
        <w:rPr>
          <w:rFonts w:ascii="Arial" w:hAnsi="Arial" w:cs="Arial"/>
          <w:noProof/>
          <w:sz w:val="22"/>
          <w:szCs w:val="22"/>
        </w:rPr>
        <w:t>O.R. Ho</w:t>
      </w:r>
      <w:r w:rsidRPr="000E2B10">
        <w:rPr>
          <w:rFonts w:ascii="Arial" w:hAnsi="Arial" w:cs="Arial"/>
          <w:noProof/>
          <w:sz w:val="22"/>
          <w:szCs w:val="22"/>
        </w:rPr>
        <w:t>lst</w:t>
      </w:r>
      <w:r w:rsidR="006031C2" w:rsidRPr="000E2B10">
        <w:rPr>
          <w:rFonts w:ascii="Arial" w:hAnsi="Arial" w:cs="Arial"/>
          <w:noProof/>
          <w:sz w:val="22"/>
          <w:szCs w:val="22"/>
        </w:rPr>
        <w:t>, Content Analysis for the Social Sciences and H</w:t>
      </w:r>
      <w:r w:rsidRPr="000E2B10">
        <w:rPr>
          <w:rFonts w:ascii="Arial" w:hAnsi="Arial" w:cs="Arial"/>
          <w:noProof/>
          <w:sz w:val="22"/>
          <w:szCs w:val="22"/>
        </w:rPr>
        <w:t>umanities</w:t>
      </w:r>
      <w:r w:rsidRPr="000E2B10">
        <w:rPr>
          <w:rFonts w:ascii="Arial" w:hAnsi="Arial" w:cs="Arial"/>
          <w:i/>
          <w:noProof/>
          <w:sz w:val="22"/>
          <w:szCs w:val="22"/>
        </w:rPr>
        <w:t>.</w:t>
      </w:r>
      <w:r w:rsidRPr="000E2B10">
        <w:rPr>
          <w:rFonts w:ascii="Arial" w:hAnsi="Arial" w:cs="Arial"/>
          <w:noProof/>
          <w:sz w:val="22"/>
          <w:szCs w:val="22"/>
        </w:rPr>
        <w:t xml:space="preserve"> </w:t>
      </w:r>
      <w:r w:rsidR="006031C2" w:rsidRPr="000E2B10">
        <w:rPr>
          <w:rFonts w:ascii="Arial" w:hAnsi="Arial" w:cs="Arial"/>
          <w:noProof/>
          <w:sz w:val="22"/>
          <w:szCs w:val="22"/>
        </w:rPr>
        <w:t>(</w:t>
      </w:r>
      <w:r w:rsidRPr="000E2B10">
        <w:rPr>
          <w:rFonts w:ascii="Arial" w:hAnsi="Arial" w:cs="Arial"/>
          <w:noProof/>
          <w:sz w:val="22"/>
          <w:szCs w:val="22"/>
        </w:rPr>
        <w:t>Reading, M</w:t>
      </w:r>
      <w:r w:rsidR="006031C2" w:rsidRPr="000E2B10">
        <w:rPr>
          <w:rFonts w:ascii="Arial" w:hAnsi="Arial" w:cs="Arial"/>
          <w:noProof/>
          <w:sz w:val="22"/>
          <w:szCs w:val="22"/>
        </w:rPr>
        <w:t>A</w:t>
      </w:r>
      <w:r w:rsidRPr="000E2B10">
        <w:rPr>
          <w:rFonts w:ascii="Arial" w:hAnsi="Arial" w:cs="Arial"/>
          <w:noProof/>
          <w:sz w:val="22"/>
          <w:szCs w:val="22"/>
        </w:rPr>
        <w:t>.</w:t>
      </w:r>
      <w:r w:rsidR="006031C2" w:rsidRPr="000E2B10">
        <w:rPr>
          <w:rFonts w:ascii="Arial" w:hAnsi="Arial" w:cs="Arial"/>
          <w:noProof/>
          <w:sz w:val="22"/>
          <w:szCs w:val="22"/>
        </w:rPr>
        <w:t>: Addison-Wesley Pub. Co.,</w:t>
      </w:r>
      <w:r w:rsidRPr="000E2B10">
        <w:rPr>
          <w:rFonts w:ascii="Arial" w:hAnsi="Arial" w:cs="Arial"/>
          <w:noProof/>
          <w:sz w:val="22"/>
          <w:szCs w:val="22"/>
        </w:rPr>
        <w:t xml:space="preserve"> 1969</w:t>
      </w:r>
      <w:r w:rsidR="006031C2" w:rsidRPr="000E2B10">
        <w:rPr>
          <w:rFonts w:ascii="Arial" w:hAnsi="Arial" w:cs="Arial"/>
          <w:noProof/>
          <w:sz w:val="22"/>
          <w:szCs w:val="22"/>
        </w:rPr>
        <w:t>)</w:t>
      </w:r>
      <w:r w:rsidRPr="000E2B10">
        <w:rPr>
          <w:rFonts w:ascii="Arial" w:hAnsi="Arial" w:cs="Arial"/>
          <w:noProof/>
          <w:sz w:val="22"/>
          <w:szCs w:val="22"/>
        </w:rPr>
        <w:t>.</w:t>
      </w:r>
    </w:p>
  </w:endnote>
  <w:endnote w:id="52">
    <w:p w:rsidR="00E7717E" w:rsidRPr="000E2B10" w:rsidRDefault="00E7717E" w:rsidP="00313AAD">
      <w:pPr>
        <w:pStyle w:val="EndnoteText"/>
        <w:spacing w:after="120"/>
        <w:ind w:left="360" w:hanging="360"/>
        <w:rPr>
          <w:sz w:val="22"/>
          <w:szCs w:val="22"/>
        </w:rPr>
      </w:pPr>
      <w:r w:rsidRPr="000E2B10">
        <w:rPr>
          <w:rStyle w:val="EndnoteReference"/>
          <w:rFonts w:ascii="Arial" w:hAnsi="Arial" w:cs="Arial"/>
          <w:sz w:val="22"/>
          <w:szCs w:val="22"/>
        </w:rPr>
        <w:endnoteRef/>
      </w:r>
      <w:r w:rsidRPr="000E2B10">
        <w:rPr>
          <w:sz w:val="22"/>
          <w:szCs w:val="22"/>
        </w:rPr>
        <w:t xml:space="preserve"> </w:t>
      </w:r>
      <w:r w:rsidRPr="000E2B10">
        <w:rPr>
          <w:sz w:val="22"/>
          <w:szCs w:val="22"/>
        </w:rPr>
        <w:tab/>
      </w:r>
      <w:r w:rsidR="008C0C70" w:rsidRPr="000E2B10">
        <w:rPr>
          <w:rFonts w:ascii="Arial" w:hAnsi="Arial" w:cs="Arial"/>
          <w:noProof/>
          <w:sz w:val="22"/>
          <w:szCs w:val="22"/>
        </w:rPr>
        <w:t>G. Guest, K.M. MacQueen, and E.E. Namey, Applied Thematic Analysis</w:t>
      </w:r>
      <w:r w:rsidR="008C0C70" w:rsidRPr="000E2B10">
        <w:rPr>
          <w:rFonts w:ascii="Arial" w:hAnsi="Arial" w:cs="Arial"/>
          <w:i/>
          <w:noProof/>
          <w:sz w:val="22"/>
          <w:szCs w:val="22"/>
        </w:rPr>
        <w:t>.</w:t>
      </w:r>
      <w:r w:rsidR="008C0C70" w:rsidRPr="000E2B10">
        <w:rPr>
          <w:rFonts w:ascii="Arial" w:hAnsi="Arial" w:cs="Arial"/>
          <w:noProof/>
          <w:sz w:val="22"/>
          <w:szCs w:val="22"/>
        </w:rPr>
        <w:t xml:space="preserve"> (Los Angeles: Sage Publications, 2012)</w:t>
      </w:r>
      <w:r w:rsidR="007277E9" w:rsidRPr="000E2B10">
        <w:rPr>
          <w:rFonts w:ascii="Arial" w:hAnsi="Arial" w:cs="Arial"/>
          <w:noProof/>
          <w:sz w:val="22"/>
          <w:szCs w:val="22"/>
        </w:rPr>
        <w:t xml:space="preserve">; H.R. Bernard and G.W. Ryan, Analyzing Qualitative Data: Systematic Approaches. (Los Angeles: Sage Publications, 2010). </w:t>
      </w:r>
    </w:p>
  </w:endnote>
  <w:endnote w:id="53">
    <w:p w:rsidR="007051AF" w:rsidRPr="000E2B10" w:rsidRDefault="007051AF" w:rsidP="007051AF">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r>
      <w:r w:rsidRPr="000E2B10">
        <w:rPr>
          <w:rFonts w:ascii="Arial" w:hAnsi="Arial" w:cs="Arial"/>
          <w:noProof/>
          <w:sz w:val="22"/>
          <w:szCs w:val="22"/>
        </w:rPr>
        <w:t>Hasson F, Keeney S, McKenna H. Research guidelines for the Delphi survey technique. J Adv Nurs. 2000;32(4):1008-1015; Keeney S, Hasson F, McKenna HP. A critical review of the Delphi technique as a research methodology for nursing. Int J Nurs Stud. 2001;38(2):195-200.</w:t>
      </w:r>
    </w:p>
  </w:endnote>
  <w:endnote w:id="54">
    <w:p w:rsidR="007051AF" w:rsidRPr="000E2B10" w:rsidRDefault="007051AF" w:rsidP="007051AF">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r>
      <w:r w:rsidRPr="000E2B10">
        <w:rPr>
          <w:rFonts w:ascii="Arial" w:hAnsi="Arial" w:cs="Arial"/>
          <w:noProof/>
          <w:sz w:val="22"/>
          <w:szCs w:val="22"/>
        </w:rPr>
        <w:t>Allen J, Dyas J, Jones M. Building consensus in health care: a guide to using the nominal group technique. Br J Community Nurs. 2004;9(3):110-114; Harvey N, Holmes CA. Nominal group technique: an effective method for obtaining group consensus. Int J Nurs Pract. 2012;18(2):188-194.</w:t>
      </w:r>
    </w:p>
  </w:endnote>
  <w:endnote w:id="55">
    <w:p w:rsidR="007051AF" w:rsidRPr="000E2B10" w:rsidRDefault="007051AF" w:rsidP="007051AF">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t>Fitch, Kathryn, Steven J. Bernstein, Maria Dolores Aguilar, Bernard Burnand, Juan Ramon LaCalle, Pablo Lazaro, Mirjam van het Loo, Joseph McDonnell, Janneke Vader and James P. Kahan. The RAND/UCLA Appropriateness Method User's Manual. Santa Monica, CA: RAND Corporation, 2001. http://www.rand.org/pubs/monograph_reports/MR1269.html.</w:t>
      </w:r>
    </w:p>
  </w:endnote>
  <w:endnote w:id="56">
    <w:p w:rsidR="007051AF" w:rsidRPr="000E2B10" w:rsidRDefault="007051AF" w:rsidP="007051AF">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r>
      <w:r w:rsidRPr="000E2B10">
        <w:rPr>
          <w:rFonts w:ascii="Arial" w:hAnsi="Arial" w:cs="Arial"/>
          <w:noProof/>
          <w:sz w:val="22"/>
          <w:szCs w:val="22"/>
        </w:rPr>
        <w:t>Halcomb E, Davidson P, Hardaker L. Using the consensus development conference method in healthcare research. Nurse Res. 2008;16(1):56-71.</w:t>
      </w:r>
    </w:p>
  </w:endnote>
  <w:endnote w:id="57">
    <w:p w:rsidR="007051AF" w:rsidRPr="000E2B10" w:rsidRDefault="007051AF" w:rsidP="007051AF">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rFonts w:ascii="Arial" w:hAnsi="Arial" w:cs="Arial"/>
          <w:sz w:val="22"/>
          <w:szCs w:val="22"/>
        </w:rPr>
        <w:t xml:space="preserve"> </w:t>
      </w:r>
      <w:r w:rsidRPr="000E2B10">
        <w:rPr>
          <w:rFonts w:ascii="Arial" w:hAnsi="Arial" w:cs="Arial"/>
          <w:sz w:val="22"/>
          <w:szCs w:val="22"/>
        </w:rPr>
        <w:tab/>
      </w:r>
      <w:r w:rsidRPr="000E2B10">
        <w:rPr>
          <w:rFonts w:ascii="Arial" w:hAnsi="Arial" w:cs="Arial"/>
          <w:noProof/>
          <w:sz w:val="22"/>
          <w:szCs w:val="22"/>
        </w:rPr>
        <w:t>Fink A, Kosecoff J, Chassin M, Brook RH. Consensus methods: characteristics and guidelines for use. Am J Public Health. 1984;74(9):979-983</w:t>
      </w:r>
      <w:r w:rsidR="00EA02F6">
        <w:rPr>
          <w:rFonts w:ascii="Arial" w:hAnsi="Arial" w:cs="Arial"/>
          <w:noProof/>
          <w:sz w:val="22"/>
          <w:szCs w:val="22"/>
        </w:rPr>
        <w:t>, DOI: 10.2105/AJPH.74.9.979</w:t>
      </w:r>
      <w:r w:rsidRPr="000E2B10">
        <w:rPr>
          <w:rFonts w:ascii="Arial" w:hAnsi="Arial" w:cs="Arial"/>
          <w:noProof/>
          <w:sz w:val="22"/>
          <w:szCs w:val="22"/>
        </w:rPr>
        <w:t>; Jones J, Hunter D. Consensus methods for medical and health services research. BMJ. 1995;311(7001):376-380; Nair R, Aggarwal R, Khanna D. Methods of formal consensus in classification/diagnostic criteria and guideline development. Semin Arthritis Rheum. 2011;41(2):95-105</w:t>
      </w:r>
      <w:r w:rsidR="00EA02F6">
        <w:rPr>
          <w:rFonts w:ascii="Arial" w:hAnsi="Arial" w:cs="Arial"/>
          <w:noProof/>
          <w:sz w:val="22"/>
          <w:szCs w:val="22"/>
        </w:rPr>
        <w:t>, PMID: 3131416</w:t>
      </w:r>
      <w:r w:rsidRPr="000E2B10">
        <w:rPr>
          <w:rFonts w:ascii="Arial" w:hAnsi="Arial" w:cs="Arial"/>
          <w:noProof/>
          <w:sz w:val="22"/>
          <w:szCs w:val="22"/>
        </w:rPr>
        <w:t>.</w:t>
      </w:r>
    </w:p>
  </w:endnote>
  <w:endnote w:id="58">
    <w:p w:rsidR="00E7717E" w:rsidRPr="000E2B10" w:rsidRDefault="00E7717E" w:rsidP="008D00D1">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M.A. "Genetic Secrets: A Policy Framework," In Genetic Secrets: Protecting Privacy and Confidentiality in the Genetic Era, M.A. Rothstein, ed. (New Haven: Yale University Press, 1997): at 451-495.</w:t>
      </w:r>
    </w:p>
  </w:endnote>
  <w:endnote w:id="59">
    <w:p w:rsidR="00E7717E" w:rsidRPr="000E2B10" w:rsidRDefault="00E7717E" w:rsidP="008D00D1">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M.A. Rothstein, "Epilogue, Policy Prescriptions," In Pharmacogenomics: Social, Ethical, and Clinical Dimensions, M.A. Rothstein, ed. (Hoboken, NJ: Wiley-Liss, 2003): at 319-335.</w:t>
      </w:r>
    </w:p>
  </w:endnote>
  <w:endnote w:id="60">
    <w:p w:rsidR="00E7717E" w:rsidRPr="000E2B10" w:rsidRDefault="00E7717E" w:rsidP="008D00D1">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M.A. Rothstein, "Policy Recommendations," In Genetics and Life Insurance: Medical Underwriting and Social Policy, M.A. Rothstein, ed. (Cambridge, MA: MIT Press, 2004): at 233-265.</w:t>
      </w:r>
    </w:p>
  </w:endnote>
  <w:endnote w:id="61">
    <w:p w:rsidR="00E7717E" w:rsidRPr="000E2B10" w:rsidRDefault="00E7717E" w:rsidP="008D00D1">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M.A. Rothstein, "Translating Values and Interests into the Law of Parentage Determination," In Genetic Ties and the Family: The Impact of Paternity Testing on Parents and Children, M.A. Rothstein et al. eds. (Baltimore: Johns Hopkins University Press, 2005): 213-238.</w:t>
      </w:r>
    </w:p>
  </w:endnote>
  <w:endnote w:id="62">
    <w:p w:rsidR="00E7717E" w:rsidRPr="000E2B10" w:rsidRDefault="00E7717E" w:rsidP="008D00D1">
      <w:pPr>
        <w:pStyle w:val="EndnoteText"/>
        <w:spacing w:after="120"/>
        <w:ind w:left="360" w:hanging="360"/>
        <w:rPr>
          <w:rFonts w:ascii="Arial" w:hAnsi="Arial" w:cs="Arial"/>
          <w:sz w:val="22"/>
          <w:szCs w:val="22"/>
        </w:rPr>
      </w:pPr>
      <w:r w:rsidRPr="000E2B10">
        <w:rPr>
          <w:rStyle w:val="EndnoteReference"/>
          <w:rFonts w:ascii="Arial" w:hAnsi="Arial" w:cs="Arial"/>
          <w:sz w:val="22"/>
          <w:szCs w:val="22"/>
        </w:rPr>
        <w:endnoteRef/>
      </w:r>
      <w:r w:rsidRPr="000E2B10">
        <w:rPr>
          <w:sz w:val="22"/>
          <w:szCs w:val="22"/>
        </w:rPr>
        <w:t xml:space="preserve"> </w:t>
      </w:r>
      <w:r w:rsidRPr="000E2B10">
        <w:rPr>
          <w:sz w:val="22"/>
          <w:szCs w:val="22"/>
        </w:rPr>
        <w:tab/>
      </w:r>
      <w:r w:rsidRPr="000E2B10">
        <w:rPr>
          <w:rFonts w:ascii="Arial" w:hAnsi="Arial" w:cs="Arial"/>
          <w:sz w:val="22"/>
          <w:szCs w:val="22"/>
        </w:rPr>
        <w:t>M.A. Rothstein, B.M. Knoppers, and H.L. Harrell, "Comparative Approaches to Biobanks and Privacy," Journal of Law, Medicine &amp; Ethics 44, no. 1 (2016): 161-172.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131845"/>
      <w:docPartObj>
        <w:docPartGallery w:val="Page Numbers (Bottom of Page)"/>
        <w:docPartUnique/>
      </w:docPartObj>
    </w:sdtPr>
    <w:sdtEndPr>
      <w:rPr>
        <w:rFonts w:ascii="Arial" w:hAnsi="Arial" w:cs="Arial"/>
        <w:noProof/>
        <w:sz w:val="22"/>
      </w:rPr>
    </w:sdtEndPr>
    <w:sdtContent>
      <w:p w:rsidR="00E7717E" w:rsidRPr="0051171E" w:rsidRDefault="00E7717E">
        <w:pPr>
          <w:pStyle w:val="Footer"/>
          <w:jc w:val="center"/>
          <w:rPr>
            <w:rFonts w:ascii="Arial" w:hAnsi="Arial" w:cs="Arial"/>
            <w:sz w:val="22"/>
          </w:rPr>
        </w:pPr>
        <w:r w:rsidRPr="0051171E">
          <w:rPr>
            <w:rFonts w:ascii="Arial" w:hAnsi="Arial" w:cs="Arial"/>
            <w:sz w:val="22"/>
          </w:rPr>
          <w:fldChar w:fldCharType="begin"/>
        </w:r>
        <w:r w:rsidRPr="0051171E">
          <w:rPr>
            <w:rFonts w:ascii="Arial" w:hAnsi="Arial" w:cs="Arial"/>
            <w:sz w:val="22"/>
          </w:rPr>
          <w:instrText xml:space="preserve"> PAGE   \* MERGEFORMAT </w:instrText>
        </w:r>
        <w:r w:rsidRPr="0051171E">
          <w:rPr>
            <w:rFonts w:ascii="Arial" w:hAnsi="Arial" w:cs="Arial"/>
            <w:sz w:val="22"/>
          </w:rPr>
          <w:fldChar w:fldCharType="separate"/>
        </w:r>
        <w:r w:rsidR="009B0C87">
          <w:rPr>
            <w:rFonts w:ascii="Arial" w:hAnsi="Arial" w:cs="Arial"/>
            <w:noProof/>
            <w:sz w:val="22"/>
          </w:rPr>
          <w:t>1</w:t>
        </w:r>
        <w:r w:rsidRPr="0051171E">
          <w:rPr>
            <w:rFonts w:ascii="Arial" w:hAnsi="Arial" w:cs="Arial"/>
            <w:noProof/>
            <w:sz w:val="22"/>
          </w:rPr>
          <w:fldChar w:fldCharType="end"/>
        </w:r>
      </w:p>
    </w:sdtContent>
  </w:sdt>
  <w:p w:rsidR="00E7717E" w:rsidRDefault="00E77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B79" w:rsidRDefault="00602B79" w:rsidP="003E309A">
      <w:r>
        <w:separator/>
      </w:r>
    </w:p>
  </w:footnote>
  <w:footnote w:type="continuationSeparator" w:id="0">
    <w:p w:rsidR="00602B79" w:rsidRDefault="00602B79" w:rsidP="003E3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226F6"/>
    <w:multiLevelType w:val="hybridMultilevel"/>
    <w:tmpl w:val="5A20F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20"/>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23"/>
    <w:rsid w:val="000070C3"/>
    <w:rsid w:val="0001344E"/>
    <w:rsid w:val="00016B17"/>
    <w:rsid w:val="00045EE7"/>
    <w:rsid w:val="0005253D"/>
    <w:rsid w:val="0007028C"/>
    <w:rsid w:val="00072BFF"/>
    <w:rsid w:val="00076DE6"/>
    <w:rsid w:val="000774CA"/>
    <w:rsid w:val="000859CB"/>
    <w:rsid w:val="00092E3D"/>
    <w:rsid w:val="000A56AF"/>
    <w:rsid w:val="000B1891"/>
    <w:rsid w:val="000B3DFA"/>
    <w:rsid w:val="000B52AE"/>
    <w:rsid w:val="000C6E53"/>
    <w:rsid w:val="000C7251"/>
    <w:rsid w:val="000D41B5"/>
    <w:rsid w:val="000D7DF3"/>
    <w:rsid w:val="000E2B10"/>
    <w:rsid w:val="000E3CE9"/>
    <w:rsid w:val="000E70C1"/>
    <w:rsid w:val="000F374C"/>
    <w:rsid w:val="000F602B"/>
    <w:rsid w:val="00104030"/>
    <w:rsid w:val="0012222B"/>
    <w:rsid w:val="00122AC5"/>
    <w:rsid w:val="001266FA"/>
    <w:rsid w:val="00132D68"/>
    <w:rsid w:val="00162262"/>
    <w:rsid w:val="00163973"/>
    <w:rsid w:val="0017315C"/>
    <w:rsid w:val="00186701"/>
    <w:rsid w:val="00194129"/>
    <w:rsid w:val="001962C1"/>
    <w:rsid w:val="001A22E6"/>
    <w:rsid w:val="001C44CC"/>
    <w:rsid w:val="001D6ABC"/>
    <w:rsid w:val="002019C9"/>
    <w:rsid w:val="00203E78"/>
    <w:rsid w:val="00205CE2"/>
    <w:rsid w:val="0021587B"/>
    <w:rsid w:val="00216948"/>
    <w:rsid w:val="00221EF3"/>
    <w:rsid w:val="00223401"/>
    <w:rsid w:val="00225E17"/>
    <w:rsid w:val="00232A1A"/>
    <w:rsid w:val="00250106"/>
    <w:rsid w:val="00250A82"/>
    <w:rsid w:val="002659C0"/>
    <w:rsid w:val="00274A6C"/>
    <w:rsid w:val="00281D90"/>
    <w:rsid w:val="00292635"/>
    <w:rsid w:val="00297EBC"/>
    <w:rsid w:val="002A3F66"/>
    <w:rsid w:val="002B4166"/>
    <w:rsid w:val="002C3BBC"/>
    <w:rsid w:val="002D2405"/>
    <w:rsid w:val="002D3A35"/>
    <w:rsid w:val="002D5D1D"/>
    <w:rsid w:val="002E1869"/>
    <w:rsid w:val="002E48E5"/>
    <w:rsid w:val="00302845"/>
    <w:rsid w:val="003079C2"/>
    <w:rsid w:val="00313AAD"/>
    <w:rsid w:val="00314151"/>
    <w:rsid w:val="003312A2"/>
    <w:rsid w:val="00331D74"/>
    <w:rsid w:val="00333904"/>
    <w:rsid w:val="00337941"/>
    <w:rsid w:val="00343B51"/>
    <w:rsid w:val="00345861"/>
    <w:rsid w:val="00345CBD"/>
    <w:rsid w:val="0038043E"/>
    <w:rsid w:val="00390241"/>
    <w:rsid w:val="003928EB"/>
    <w:rsid w:val="003B2194"/>
    <w:rsid w:val="003B6C64"/>
    <w:rsid w:val="003C0679"/>
    <w:rsid w:val="003E309A"/>
    <w:rsid w:val="003F168B"/>
    <w:rsid w:val="00415F45"/>
    <w:rsid w:val="0042348C"/>
    <w:rsid w:val="0042352D"/>
    <w:rsid w:val="00423BA8"/>
    <w:rsid w:val="004252B1"/>
    <w:rsid w:val="004274B9"/>
    <w:rsid w:val="0043231D"/>
    <w:rsid w:val="00432D5E"/>
    <w:rsid w:val="004343BE"/>
    <w:rsid w:val="00443014"/>
    <w:rsid w:val="00447441"/>
    <w:rsid w:val="00451FD1"/>
    <w:rsid w:val="00474CB0"/>
    <w:rsid w:val="00475050"/>
    <w:rsid w:val="004903B8"/>
    <w:rsid w:val="00492CBA"/>
    <w:rsid w:val="004A5BBA"/>
    <w:rsid w:val="004A7445"/>
    <w:rsid w:val="004A7843"/>
    <w:rsid w:val="004B5912"/>
    <w:rsid w:val="004B5E20"/>
    <w:rsid w:val="004B5E39"/>
    <w:rsid w:val="004C3B2F"/>
    <w:rsid w:val="004C4672"/>
    <w:rsid w:val="004C5CCD"/>
    <w:rsid w:val="004D3F57"/>
    <w:rsid w:val="004D5B35"/>
    <w:rsid w:val="004E5797"/>
    <w:rsid w:val="004F73F6"/>
    <w:rsid w:val="0051171E"/>
    <w:rsid w:val="00511DFF"/>
    <w:rsid w:val="00521C41"/>
    <w:rsid w:val="00522542"/>
    <w:rsid w:val="00526453"/>
    <w:rsid w:val="00531611"/>
    <w:rsid w:val="00533E61"/>
    <w:rsid w:val="00537E91"/>
    <w:rsid w:val="005409E8"/>
    <w:rsid w:val="0054274A"/>
    <w:rsid w:val="00547A9D"/>
    <w:rsid w:val="005539F4"/>
    <w:rsid w:val="00563547"/>
    <w:rsid w:val="00565FA0"/>
    <w:rsid w:val="00567ECF"/>
    <w:rsid w:val="00570D5B"/>
    <w:rsid w:val="00572B48"/>
    <w:rsid w:val="00575C5A"/>
    <w:rsid w:val="00575C7A"/>
    <w:rsid w:val="00575D42"/>
    <w:rsid w:val="00577AD2"/>
    <w:rsid w:val="005864B0"/>
    <w:rsid w:val="005A23CA"/>
    <w:rsid w:val="005A2500"/>
    <w:rsid w:val="005A44A5"/>
    <w:rsid w:val="005B1425"/>
    <w:rsid w:val="005B3D82"/>
    <w:rsid w:val="005B6202"/>
    <w:rsid w:val="005D1ACD"/>
    <w:rsid w:val="005E12B1"/>
    <w:rsid w:val="005E64A3"/>
    <w:rsid w:val="00602B79"/>
    <w:rsid w:val="006031C2"/>
    <w:rsid w:val="0061740F"/>
    <w:rsid w:val="006216F8"/>
    <w:rsid w:val="0063400A"/>
    <w:rsid w:val="00636F31"/>
    <w:rsid w:val="00642344"/>
    <w:rsid w:val="006474D4"/>
    <w:rsid w:val="006545B4"/>
    <w:rsid w:val="006549B4"/>
    <w:rsid w:val="00654CF8"/>
    <w:rsid w:val="00661B03"/>
    <w:rsid w:val="00664CA8"/>
    <w:rsid w:val="00683035"/>
    <w:rsid w:val="006846CE"/>
    <w:rsid w:val="00684D21"/>
    <w:rsid w:val="00685E47"/>
    <w:rsid w:val="006A17F6"/>
    <w:rsid w:val="006A221C"/>
    <w:rsid w:val="006A5569"/>
    <w:rsid w:val="006B3B22"/>
    <w:rsid w:val="006C0748"/>
    <w:rsid w:val="006C376C"/>
    <w:rsid w:val="006C4446"/>
    <w:rsid w:val="006C537E"/>
    <w:rsid w:val="006E41D0"/>
    <w:rsid w:val="006E512A"/>
    <w:rsid w:val="006E5DC2"/>
    <w:rsid w:val="006F143C"/>
    <w:rsid w:val="006F2008"/>
    <w:rsid w:val="006F5C14"/>
    <w:rsid w:val="00703E80"/>
    <w:rsid w:val="007051AF"/>
    <w:rsid w:val="007054A3"/>
    <w:rsid w:val="00712EA4"/>
    <w:rsid w:val="00714227"/>
    <w:rsid w:val="00720429"/>
    <w:rsid w:val="00721040"/>
    <w:rsid w:val="007232F2"/>
    <w:rsid w:val="007277E9"/>
    <w:rsid w:val="00730F8C"/>
    <w:rsid w:val="00734D9A"/>
    <w:rsid w:val="00736FFD"/>
    <w:rsid w:val="00737F13"/>
    <w:rsid w:val="007556AB"/>
    <w:rsid w:val="00755A5B"/>
    <w:rsid w:val="00760822"/>
    <w:rsid w:val="00763899"/>
    <w:rsid w:val="00774076"/>
    <w:rsid w:val="0079006A"/>
    <w:rsid w:val="00790BEE"/>
    <w:rsid w:val="007B4E4C"/>
    <w:rsid w:val="007C220E"/>
    <w:rsid w:val="007C3335"/>
    <w:rsid w:val="007C6605"/>
    <w:rsid w:val="007D07B9"/>
    <w:rsid w:val="007E4E72"/>
    <w:rsid w:val="007F1935"/>
    <w:rsid w:val="007F238F"/>
    <w:rsid w:val="007F645E"/>
    <w:rsid w:val="007F684C"/>
    <w:rsid w:val="0080514F"/>
    <w:rsid w:val="008067A2"/>
    <w:rsid w:val="008242CF"/>
    <w:rsid w:val="00832371"/>
    <w:rsid w:val="00837C66"/>
    <w:rsid w:val="008614F9"/>
    <w:rsid w:val="00864CEA"/>
    <w:rsid w:val="00870DAE"/>
    <w:rsid w:val="00880291"/>
    <w:rsid w:val="008807B1"/>
    <w:rsid w:val="00882BD1"/>
    <w:rsid w:val="0089198A"/>
    <w:rsid w:val="008B2554"/>
    <w:rsid w:val="008B6534"/>
    <w:rsid w:val="008C0C70"/>
    <w:rsid w:val="008D00D1"/>
    <w:rsid w:val="008E594E"/>
    <w:rsid w:val="008F3584"/>
    <w:rsid w:val="008F5816"/>
    <w:rsid w:val="009150AF"/>
    <w:rsid w:val="00923A6F"/>
    <w:rsid w:val="009263B1"/>
    <w:rsid w:val="00927595"/>
    <w:rsid w:val="00936AAD"/>
    <w:rsid w:val="00937C69"/>
    <w:rsid w:val="00941C9D"/>
    <w:rsid w:val="00944403"/>
    <w:rsid w:val="0094479A"/>
    <w:rsid w:val="00953B31"/>
    <w:rsid w:val="0098037F"/>
    <w:rsid w:val="00980393"/>
    <w:rsid w:val="00982340"/>
    <w:rsid w:val="00991889"/>
    <w:rsid w:val="00994ED7"/>
    <w:rsid w:val="009A3709"/>
    <w:rsid w:val="009A54A5"/>
    <w:rsid w:val="009A5F5D"/>
    <w:rsid w:val="009B0C87"/>
    <w:rsid w:val="009B4ED3"/>
    <w:rsid w:val="009C1CE4"/>
    <w:rsid w:val="009F64FD"/>
    <w:rsid w:val="009F720B"/>
    <w:rsid w:val="00A1745F"/>
    <w:rsid w:val="00A23E97"/>
    <w:rsid w:val="00A26407"/>
    <w:rsid w:val="00A352CE"/>
    <w:rsid w:val="00A5791C"/>
    <w:rsid w:val="00A57F06"/>
    <w:rsid w:val="00A61FB6"/>
    <w:rsid w:val="00A66D2A"/>
    <w:rsid w:val="00A83BB2"/>
    <w:rsid w:val="00A86816"/>
    <w:rsid w:val="00A9646E"/>
    <w:rsid w:val="00AA4535"/>
    <w:rsid w:val="00AA4832"/>
    <w:rsid w:val="00AA7A7B"/>
    <w:rsid w:val="00AB0BBB"/>
    <w:rsid w:val="00AC6A6A"/>
    <w:rsid w:val="00AE49C0"/>
    <w:rsid w:val="00AF0FB3"/>
    <w:rsid w:val="00AF127F"/>
    <w:rsid w:val="00AF32F9"/>
    <w:rsid w:val="00AF3331"/>
    <w:rsid w:val="00B046AE"/>
    <w:rsid w:val="00B109F7"/>
    <w:rsid w:val="00B17D30"/>
    <w:rsid w:val="00B27851"/>
    <w:rsid w:val="00B4560A"/>
    <w:rsid w:val="00B6440A"/>
    <w:rsid w:val="00B67990"/>
    <w:rsid w:val="00B730D8"/>
    <w:rsid w:val="00B762A6"/>
    <w:rsid w:val="00B842E3"/>
    <w:rsid w:val="00BA50D6"/>
    <w:rsid w:val="00BA7D60"/>
    <w:rsid w:val="00BB58A6"/>
    <w:rsid w:val="00BB7D74"/>
    <w:rsid w:val="00BD16D3"/>
    <w:rsid w:val="00BD63AC"/>
    <w:rsid w:val="00BE07F6"/>
    <w:rsid w:val="00BE4CAB"/>
    <w:rsid w:val="00BF292B"/>
    <w:rsid w:val="00BF4895"/>
    <w:rsid w:val="00BF5E29"/>
    <w:rsid w:val="00C051A1"/>
    <w:rsid w:val="00C1430E"/>
    <w:rsid w:val="00C1510A"/>
    <w:rsid w:val="00C20CDC"/>
    <w:rsid w:val="00C24400"/>
    <w:rsid w:val="00C348F4"/>
    <w:rsid w:val="00C37B00"/>
    <w:rsid w:val="00C37B8A"/>
    <w:rsid w:val="00C628EB"/>
    <w:rsid w:val="00C71D7D"/>
    <w:rsid w:val="00C73515"/>
    <w:rsid w:val="00C7403C"/>
    <w:rsid w:val="00C77C9A"/>
    <w:rsid w:val="00C932D8"/>
    <w:rsid w:val="00CB164C"/>
    <w:rsid w:val="00CB176A"/>
    <w:rsid w:val="00CC07E5"/>
    <w:rsid w:val="00CC2133"/>
    <w:rsid w:val="00CD4E91"/>
    <w:rsid w:val="00CE3A4B"/>
    <w:rsid w:val="00CE65A9"/>
    <w:rsid w:val="00CE7F34"/>
    <w:rsid w:val="00CF0BCE"/>
    <w:rsid w:val="00CF357E"/>
    <w:rsid w:val="00CF702B"/>
    <w:rsid w:val="00D01288"/>
    <w:rsid w:val="00D0227D"/>
    <w:rsid w:val="00D070A4"/>
    <w:rsid w:val="00D13525"/>
    <w:rsid w:val="00D147AC"/>
    <w:rsid w:val="00D245D8"/>
    <w:rsid w:val="00D24B1A"/>
    <w:rsid w:val="00D30347"/>
    <w:rsid w:val="00D30B13"/>
    <w:rsid w:val="00D42055"/>
    <w:rsid w:val="00D463A3"/>
    <w:rsid w:val="00D52823"/>
    <w:rsid w:val="00D55B66"/>
    <w:rsid w:val="00D630B9"/>
    <w:rsid w:val="00D6643A"/>
    <w:rsid w:val="00D8408E"/>
    <w:rsid w:val="00D8744D"/>
    <w:rsid w:val="00D97065"/>
    <w:rsid w:val="00DA1272"/>
    <w:rsid w:val="00DA7C64"/>
    <w:rsid w:val="00DE1E26"/>
    <w:rsid w:val="00DE3DB1"/>
    <w:rsid w:val="00DE626C"/>
    <w:rsid w:val="00DF222A"/>
    <w:rsid w:val="00E06A69"/>
    <w:rsid w:val="00E169D2"/>
    <w:rsid w:val="00E258E4"/>
    <w:rsid w:val="00E2783A"/>
    <w:rsid w:val="00E33F03"/>
    <w:rsid w:val="00E3598F"/>
    <w:rsid w:val="00E36AE2"/>
    <w:rsid w:val="00E37D70"/>
    <w:rsid w:val="00E40648"/>
    <w:rsid w:val="00E54F7A"/>
    <w:rsid w:val="00E615D9"/>
    <w:rsid w:val="00E678CD"/>
    <w:rsid w:val="00E7021D"/>
    <w:rsid w:val="00E70FAC"/>
    <w:rsid w:val="00E7176D"/>
    <w:rsid w:val="00E76560"/>
    <w:rsid w:val="00E7717E"/>
    <w:rsid w:val="00E80429"/>
    <w:rsid w:val="00E81754"/>
    <w:rsid w:val="00EA02F6"/>
    <w:rsid w:val="00EA3D10"/>
    <w:rsid w:val="00EB2767"/>
    <w:rsid w:val="00EC1080"/>
    <w:rsid w:val="00EC1F9B"/>
    <w:rsid w:val="00ED62AF"/>
    <w:rsid w:val="00ED72F9"/>
    <w:rsid w:val="00EE76E9"/>
    <w:rsid w:val="00EF55ED"/>
    <w:rsid w:val="00F039DF"/>
    <w:rsid w:val="00F1033A"/>
    <w:rsid w:val="00F1352A"/>
    <w:rsid w:val="00F376AF"/>
    <w:rsid w:val="00F454B4"/>
    <w:rsid w:val="00F52EC7"/>
    <w:rsid w:val="00F55B20"/>
    <w:rsid w:val="00F627F3"/>
    <w:rsid w:val="00F72D0F"/>
    <w:rsid w:val="00F91F79"/>
    <w:rsid w:val="00F93B0F"/>
    <w:rsid w:val="00F96B4D"/>
    <w:rsid w:val="00FA4AF3"/>
    <w:rsid w:val="00FA6FEC"/>
    <w:rsid w:val="00FB58A7"/>
    <w:rsid w:val="00FC5850"/>
    <w:rsid w:val="00FD051B"/>
    <w:rsid w:val="00FE70E1"/>
    <w:rsid w:val="00FF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1C451AE7-0AF2-41E5-9D3A-11631E50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3F168B"/>
    <w:rPr>
      <w:rFonts w:ascii="Verdana" w:hAnsi="Verdan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EndnoteText">
    <w:name w:val="endnote text"/>
    <w:basedOn w:val="Normal"/>
    <w:link w:val="EndnoteTextChar"/>
    <w:uiPriority w:val="99"/>
    <w:semiHidden/>
    <w:unhideWhenUsed/>
    <w:rsid w:val="003E309A"/>
    <w:rPr>
      <w:sz w:val="20"/>
      <w:szCs w:val="20"/>
    </w:rPr>
  </w:style>
  <w:style w:type="character" w:customStyle="1" w:styleId="EndnoteTextChar">
    <w:name w:val="Endnote Text Char"/>
    <w:basedOn w:val="DefaultParagraphFont"/>
    <w:link w:val="EndnoteText"/>
    <w:uiPriority w:val="99"/>
    <w:semiHidden/>
    <w:rsid w:val="003E309A"/>
    <w:rPr>
      <w:sz w:val="20"/>
      <w:szCs w:val="20"/>
    </w:rPr>
  </w:style>
  <w:style w:type="character" w:styleId="EndnoteReference">
    <w:name w:val="endnote reference"/>
    <w:basedOn w:val="DefaultParagraphFont"/>
    <w:uiPriority w:val="99"/>
    <w:semiHidden/>
    <w:unhideWhenUsed/>
    <w:rsid w:val="003E309A"/>
    <w:rPr>
      <w:vertAlign w:val="superscript"/>
    </w:rPr>
  </w:style>
  <w:style w:type="paragraph" w:styleId="BalloonText">
    <w:name w:val="Balloon Text"/>
    <w:basedOn w:val="Normal"/>
    <w:link w:val="BalloonTextChar"/>
    <w:uiPriority w:val="99"/>
    <w:semiHidden/>
    <w:unhideWhenUsed/>
    <w:rsid w:val="0038043E"/>
    <w:rPr>
      <w:rFonts w:ascii="Tahoma" w:hAnsi="Tahoma"/>
      <w:sz w:val="16"/>
      <w:szCs w:val="16"/>
    </w:rPr>
  </w:style>
  <w:style w:type="character" w:customStyle="1" w:styleId="BalloonTextChar">
    <w:name w:val="Balloon Text Char"/>
    <w:basedOn w:val="DefaultParagraphFont"/>
    <w:link w:val="BalloonText"/>
    <w:uiPriority w:val="99"/>
    <w:semiHidden/>
    <w:rsid w:val="0038043E"/>
    <w:rPr>
      <w:rFonts w:ascii="Tahoma" w:hAnsi="Tahoma"/>
      <w:sz w:val="16"/>
      <w:szCs w:val="16"/>
    </w:rPr>
  </w:style>
  <w:style w:type="character" w:styleId="Hyperlink">
    <w:name w:val="Hyperlink"/>
    <w:basedOn w:val="DefaultParagraphFont"/>
    <w:uiPriority w:val="99"/>
    <w:unhideWhenUsed/>
    <w:rsid w:val="00734D9A"/>
    <w:rPr>
      <w:color w:val="0000FF" w:themeColor="hyperlink"/>
      <w:u w:val="single"/>
    </w:rPr>
  </w:style>
  <w:style w:type="paragraph" w:styleId="Header">
    <w:name w:val="header"/>
    <w:basedOn w:val="Normal"/>
    <w:link w:val="HeaderChar"/>
    <w:uiPriority w:val="99"/>
    <w:unhideWhenUsed/>
    <w:rsid w:val="00BD63AC"/>
    <w:pPr>
      <w:tabs>
        <w:tab w:val="center" w:pos="4680"/>
        <w:tab w:val="right" w:pos="9360"/>
      </w:tabs>
    </w:pPr>
  </w:style>
  <w:style w:type="character" w:customStyle="1" w:styleId="HeaderChar">
    <w:name w:val="Header Char"/>
    <w:basedOn w:val="DefaultParagraphFont"/>
    <w:link w:val="Header"/>
    <w:uiPriority w:val="99"/>
    <w:rsid w:val="00BD63AC"/>
  </w:style>
  <w:style w:type="paragraph" w:styleId="Footer">
    <w:name w:val="footer"/>
    <w:basedOn w:val="Normal"/>
    <w:link w:val="FooterChar"/>
    <w:uiPriority w:val="99"/>
    <w:unhideWhenUsed/>
    <w:rsid w:val="00BD63AC"/>
    <w:pPr>
      <w:tabs>
        <w:tab w:val="center" w:pos="4680"/>
        <w:tab w:val="right" w:pos="9360"/>
      </w:tabs>
    </w:pPr>
  </w:style>
  <w:style w:type="character" w:customStyle="1" w:styleId="FooterChar">
    <w:name w:val="Footer Char"/>
    <w:basedOn w:val="DefaultParagraphFont"/>
    <w:link w:val="Footer"/>
    <w:uiPriority w:val="99"/>
    <w:rsid w:val="00BD63AC"/>
  </w:style>
  <w:style w:type="table" w:styleId="TableGrid">
    <w:name w:val="Table Grid"/>
    <w:basedOn w:val="TableNormal"/>
    <w:uiPriority w:val="59"/>
    <w:rsid w:val="003B2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AAD"/>
    <w:pPr>
      <w:ind w:left="720"/>
      <w:contextualSpacing/>
    </w:pPr>
    <w:rPr>
      <w:rFonts w:eastAsia="Times New Roman" w:cs="Times New Roman"/>
      <w:szCs w:val="24"/>
    </w:rPr>
  </w:style>
  <w:style w:type="character" w:styleId="CommentReference">
    <w:name w:val="annotation reference"/>
    <w:basedOn w:val="DefaultParagraphFont"/>
    <w:uiPriority w:val="99"/>
    <w:semiHidden/>
    <w:unhideWhenUsed/>
    <w:rsid w:val="000B1891"/>
    <w:rPr>
      <w:sz w:val="16"/>
      <w:szCs w:val="16"/>
    </w:rPr>
  </w:style>
  <w:style w:type="paragraph" w:styleId="CommentText">
    <w:name w:val="annotation text"/>
    <w:basedOn w:val="Normal"/>
    <w:link w:val="CommentTextChar"/>
    <w:uiPriority w:val="99"/>
    <w:semiHidden/>
    <w:unhideWhenUsed/>
    <w:rsid w:val="000B1891"/>
    <w:rPr>
      <w:sz w:val="20"/>
      <w:szCs w:val="20"/>
    </w:rPr>
  </w:style>
  <w:style w:type="character" w:customStyle="1" w:styleId="CommentTextChar">
    <w:name w:val="Comment Text Char"/>
    <w:basedOn w:val="DefaultParagraphFont"/>
    <w:link w:val="CommentText"/>
    <w:uiPriority w:val="99"/>
    <w:semiHidden/>
    <w:rsid w:val="000B189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327384">
      <w:bodyDiv w:val="1"/>
      <w:marLeft w:val="0"/>
      <w:marRight w:val="0"/>
      <w:marTop w:val="0"/>
      <w:marBottom w:val="0"/>
      <w:divBdr>
        <w:top w:val="none" w:sz="0" w:space="0" w:color="auto"/>
        <w:left w:val="none" w:sz="0" w:space="0" w:color="auto"/>
        <w:bottom w:val="none" w:sz="0" w:space="0" w:color="auto"/>
        <w:right w:val="none" w:sz="0" w:space="0" w:color="auto"/>
      </w:divBdr>
    </w:div>
    <w:div w:id="184392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ftc.gov/tips-advice/business-%20%20center/guidance/mobile-health-apps-interactive-tool" TargetMode="External"/><Relationship Id="rId2" Type="http://schemas.openxmlformats.org/officeDocument/2006/relationships/hyperlink" Target="http://www.chcf.org/~/media/MEDIA%20LIBRARY%20Files/PDF/PDF%20H/PDF%20HeresLookingPersonalHealthInfo.pdf" TargetMode="External"/><Relationship Id="rId1" Type="http://schemas.openxmlformats.org/officeDocument/2006/relationships/hyperlink" Target="http://techscience.org/a/201503001/" TargetMode="External"/><Relationship Id="rId4" Type="http://schemas.openxmlformats.org/officeDocument/2006/relationships/hyperlink" Target="https://genomicsandhealth.org/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411FD-EB69-43AB-95A4-A61FCC92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8857</Words>
  <Characters>50486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Rothstein</dc:creator>
  <cp:lastModifiedBy>Klein,Robert _</cp:lastModifiedBy>
  <cp:revision>2</cp:revision>
  <cp:lastPrinted>2016-06-21T20:24:00Z</cp:lastPrinted>
  <dcterms:created xsi:type="dcterms:W3CDTF">2017-09-29T13:39:00Z</dcterms:created>
  <dcterms:modified xsi:type="dcterms:W3CDTF">2017-09-29T13:39:00Z</dcterms:modified>
</cp:coreProperties>
</file>