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0D75" w14:textId="77777777" w:rsidR="00E97D58" w:rsidRDefault="001639F1">
      <w:pPr>
        <w:pStyle w:val="Heading1"/>
        <w:spacing w:before="75"/>
        <w:ind w:left="3867" w:right="3885"/>
        <w:jc w:val="center"/>
      </w:pPr>
      <w:r>
        <w:t>Facilities and Other Resources</w:t>
      </w:r>
    </w:p>
    <w:p w14:paraId="29F737D1" w14:textId="77777777" w:rsidR="00E97D58" w:rsidRDefault="00E97D58">
      <w:pPr>
        <w:pStyle w:val="BodyText"/>
        <w:spacing w:before="2"/>
        <w:ind w:left="0"/>
        <w:rPr>
          <w:b/>
        </w:rPr>
      </w:pPr>
    </w:p>
    <w:p w14:paraId="0C251F80" w14:textId="77777777" w:rsidR="00E97D58" w:rsidRDefault="001639F1">
      <w:pPr>
        <w:pStyle w:val="Heading1"/>
        <w:spacing w:before="52" w:line="506" w:lineRule="exact"/>
        <w:ind w:right="6926"/>
      </w:pPr>
      <w:r>
        <w:t xml:space="preserve">University of Louisville, Louisville, KY </w:t>
      </w:r>
      <w:proofErr w:type="gramStart"/>
      <w:r>
        <w:t>The</w:t>
      </w:r>
      <w:proofErr w:type="gramEnd"/>
      <w:r>
        <w:t xml:space="preserve"> University of Louisville</w:t>
      </w:r>
    </w:p>
    <w:p w14:paraId="07362B6C" w14:textId="77777777" w:rsidR="00E97D58" w:rsidRDefault="001639F1">
      <w:pPr>
        <w:pStyle w:val="BodyText"/>
        <w:spacing w:line="200" w:lineRule="exact"/>
      </w:pPr>
      <w:r>
        <w:t>As one of the institutions with the fastest growth in NIH funding in recent years, the research intensive</w:t>
      </w:r>
    </w:p>
    <w:p w14:paraId="442C915F" w14:textId="3CC82E0C" w:rsidR="00E97D58" w:rsidRDefault="001639F1">
      <w:pPr>
        <w:pStyle w:val="BodyText"/>
        <w:spacing w:before="1"/>
        <w:ind w:right="273"/>
      </w:pPr>
      <w:r>
        <w:t>University of Louisville (U of L) in Kentucky leads the state in metropolitan related scholarship and innovation. Founded in 1798, the University of Louisville has been actively involved in research for the past 50 years and was restructured 1</w:t>
      </w:r>
      <w:r w:rsidR="00DC0977">
        <w:t>8</w:t>
      </w:r>
      <w:r>
        <w:t xml:space="preserve"> years ago to incentivize and reward research and extramural funding. Relatedly, in the past 10 years, the university has increased NIH funding </w:t>
      </w:r>
      <w:proofErr w:type="gramStart"/>
      <w:r>
        <w:t>seven fold</w:t>
      </w:r>
      <w:proofErr w:type="gramEnd"/>
      <w:r>
        <w:t>.</w:t>
      </w:r>
    </w:p>
    <w:p w14:paraId="7CD1B9C2" w14:textId="77777777" w:rsidR="00E97D58" w:rsidRDefault="00E97D58">
      <w:pPr>
        <w:pStyle w:val="BodyText"/>
        <w:spacing w:before="9"/>
        <w:ind w:left="0"/>
        <w:rPr>
          <w:sz w:val="21"/>
        </w:rPr>
      </w:pPr>
    </w:p>
    <w:p w14:paraId="14D035ED" w14:textId="77777777" w:rsidR="00E97D58" w:rsidRDefault="001639F1">
      <w:pPr>
        <w:pStyle w:val="BodyText"/>
        <w:ind w:right="102"/>
      </w:pPr>
      <w:r>
        <w:rPr>
          <w:b/>
        </w:rPr>
        <w:t>Kent School of Social Work</w:t>
      </w:r>
      <w:r>
        <w:t xml:space="preserve">: The Kent School of Social Work (the Kent School) was founded in 1918 and has had a long history of working with state, federal, and community organizations. The research infrastructure of the Kent School will provide important management and budget oversight services to this grant. Kent School faculty have successfully administered research grants from NICHD, NIDA, IES, ACF and </w:t>
      </w:r>
      <w:proofErr w:type="gramStart"/>
      <w:r>
        <w:t>a number of</w:t>
      </w:r>
      <w:proofErr w:type="gramEnd"/>
      <w:r>
        <w:t xml:space="preserve"> state and local agencies. PIs are supported by the Kent School Office of the Associate Dean for Research including the Associate Dean, a research coordinator, and IRB consultant and Business Services Center.</w:t>
      </w:r>
    </w:p>
    <w:p w14:paraId="12B16EB0" w14:textId="77777777" w:rsidR="00E97D58" w:rsidRDefault="00E97D58">
      <w:pPr>
        <w:pStyle w:val="BodyText"/>
        <w:spacing w:before="8"/>
        <w:ind w:left="0"/>
        <w:rPr>
          <w:sz w:val="21"/>
        </w:rPr>
      </w:pPr>
    </w:p>
    <w:p w14:paraId="3BF00225" w14:textId="2A29DD1E" w:rsidR="00E97D58" w:rsidRDefault="001639F1">
      <w:pPr>
        <w:pStyle w:val="BodyText"/>
        <w:spacing w:before="1"/>
        <w:ind w:right="144"/>
      </w:pPr>
      <w:r>
        <w:rPr>
          <w:b/>
        </w:rPr>
        <w:t>Computers, Telecommunications, IT</w:t>
      </w:r>
      <w:r>
        <w:t xml:space="preserve">: Kent School faculty have computers, printers, telephones, fax, and copying capabilities. The Kent School has a full-time IT specialist who, in collaboration with an extensive university-wide IT team, provides network systems and software installation, maintenance, security, consulting, support, and training for all employees and projects. Research infrastructure includes a variety of technologies and services. The </w:t>
      </w:r>
      <w:proofErr w:type="spellStart"/>
      <w:r>
        <w:t>Dahlem</w:t>
      </w:r>
      <w:proofErr w:type="spellEnd"/>
      <w:r>
        <w:t xml:space="preserve"> Supercomputer Laboratory at the University of Louisville includes </w:t>
      </w:r>
      <w:proofErr w:type="spellStart"/>
      <w:r>
        <w:t>Adelie</w:t>
      </w:r>
      <w:proofErr w:type="spellEnd"/>
      <w:r>
        <w:t xml:space="preserve">, a </w:t>
      </w:r>
      <w:proofErr w:type="gramStart"/>
      <w:r>
        <w:t>64 bit</w:t>
      </w:r>
      <w:proofErr w:type="gramEnd"/>
      <w:r>
        <w:t xml:space="preserve"> Linux supercomputer and numerous PC workstations for accessing </w:t>
      </w:r>
      <w:proofErr w:type="spellStart"/>
      <w:r>
        <w:t>Adelie</w:t>
      </w:r>
      <w:proofErr w:type="spellEnd"/>
      <w:r>
        <w:t xml:space="preserve"> and other systems on campus. Two conference rooms with network connected presentation computers will be available for use by project personnel as well as climate control data storage and state–of-the-art data backup. The </w:t>
      </w:r>
      <w:r w:rsidR="00DC0977">
        <w:t>University</w:t>
      </w:r>
      <w:r>
        <w:t xml:space="preserve"> also maintains a subscription and provides access to </w:t>
      </w:r>
      <w:r w:rsidR="00DC0977">
        <w:t>Box.com</w:t>
      </w:r>
      <w:r>
        <w:t xml:space="preserve">, a secure cloud-based storage system, for use by all faculty and research personnel. </w:t>
      </w:r>
      <w:r w:rsidR="00DC0977">
        <w:t>Box.com</w:t>
      </w:r>
      <w:r>
        <w:t xml:space="preserve"> offers several features critical for secure data storage including allowing for restrictions for access to specific domains and IP addresses, restrictions to external sharing, components to ensure the secure sharing of links (e.g., set password strengths), and file conflict policies to minimize unintentional over-writing of data.</w:t>
      </w:r>
    </w:p>
    <w:p w14:paraId="018F25BA" w14:textId="77777777" w:rsidR="00E97D58" w:rsidRDefault="00E97D58">
      <w:pPr>
        <w:pStyle w:val="BodyText"/>
        <w:spacing w:before="7"/>
        <w:ind w:left="0"/>
        <w:rPr>
          <w:sz w:val="21"/>
        </w:rPr>
      </w:pPr>
    </w:p>
    <w:p w14:paraId="03ABD702" w14:textId="2C458D87" w:rsidR="00E97D58" w:rsidRDefault="001639F1" w:rsidP="00DC0977">
      <w:pPr>
        <w:pStyle w:val="BodyText"/>
        <w:ind w:right="297"/>
      </w:pPr>
      <w:r>
        <w:rPr>
          <w:b/>
        </w:rPr>
        <w:t>Administration</w:t>
      </w:r>
      <w:r>
        <w:t xml:space="preserve">: PIs work closely with the </w:t>
      </w:r>
      <w:r w:rsidR="0036334F">
        <w:t xml:space="preserve">Kent School </w:t>
      </w:r>
      <w:r>
        <w:t xml:space="preserve">Associate Dean for Research </w:t>
      </w:r>
      <w:r w:rsidR="0036334F">
        <w:t xml:space="preserve">and the Kent School </w:t>
      </w:r>
      <w:r w:rsidR="00DC0977">
        <w:t>Research Office</w:t>
      </w:r>
      <w:r>
        <w:t xml:space="preserve"> staff, including a full-time Research </w:t>
      </w:r>
      <w:r w:rsidR="00DC0977">
        <w:t>and Grants Manager</w:t>
      </w:r>
      <w:r>
        <w:t xml:space="preserve">, and the Kent School’s Business Services </w:t>
      </w:r>
      <w:r w:rsidR="0036334F">
        <w:t>C</w:t>
      </w:r>
      <w:r>
        <w:t xml:space="preserve">enter on all funding, human relations and grant-related issues. These offices in the Kent School are supported by U of L’s Research Foundation, Grants Management Office, Accounting, and Human Resources Offices to ensure that all policies and procedures are followed </w:t>
      </w:r>
      <w:proofErr w:type="gramStart"/>
      <w:r>
        <w:t>with regard to</w:t>
      </w:r>
      <w:proofErr w:type="gramEnd"/>
      <w:r>
        <w:t xml:space="preserve"> human resources, accounting, and grant management is</w:t>
      </w:r>
      <w:bookmarkStart w:id="0" w:name="_GoBack"/>
      <w:bookmarkEnd w:id="0"/>
      <w:r>
        <w:t>sues. Any extramural grant is given a separate, unique account within the university’s accounting system.</w:t>
      </w:r>
      <w:r w:rsidR="00DC0977">
        <w:t xml:space="preserve"> </w:t>
      </w:r>
      <w:r>
        <w:t>This account possesses a unique number by which all deposits and expenditures are processed and monitored. The Research Foundation, Inc. undergoes an A-133 audit each fiscal year and abides by funding agency financial guidelines.</w:t>
      </w:r>
    </w:p>
    <w:p w14:paraId="7264150E" w14:textId="77777777" w:rsidR="00E97D58" w:rsidRDefault="00E97D58">
      <w:pPr>
        <w:pStyle w:val="BodyText"/>
        <w:spacing w:before="10"/>
        <w:ind w:left="0"/>
        <w:rPr>
          <w:sz w:val="21"/>
        </w:rPr>
      </w:pPr>
    </w:p>
    <w:p w14:paraId="0488B62C" w14:textId="77777777" w:rsidR="00E97D58" w:rsidRDefault="001639F1">
      <w:pPr>
        <w:pStyle w:val="BodyText"/>
        <w:ind w:right="249"/>
      </w:pPr>
      <w:r>
        <w:rPr>
          <w:b/>
        </w:rPr>
        <w:t xml:space="preserve">Additional Resources/Colleagues at U of L: </w:t>
      </w:r>
      <w:r>
        <w:t>The PI also has access to the Clinical Research Design, Biostatistics and Epidemiology Core (CRDBC) in the Clinical Translational Science Institute at U of L, which provides research design consultation and support to investigators conducting translational research across the university</w:t>
      </w:r>
      <w:r w:rsidR="00BB0503">
        <w:rPr>
          <w:color w:val="FF0000"/>
        </w:rPr>
        <w:t>.</w:t>
      </w:r>
    </w:p>
    <w:p w14:paraId="0BC161AC" w14:textId="77777777" w:rsidR="00E97D58" w:rsidRDefault="00E97D58">
      <w:pPr>
        <w:pStyle w:val="BodyText"/>
        <w:spacing w:before="9"/>
        <w:ind w:left="0"/>
        <w:rPr>
          <w:sz w:val="21"/>
        </w:rPr>
      </w:pPr>
    </w:p>
    <w:sectPr w:rsidR="00E97D58" w:rsidSect="00F24B71">
      <w:type w:val="continuous"/>
      <w:pgSz w:w="12240" w:h="1584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F5B6A"/>
    <w:multiLevelType w:val="hybridMultilevel"/>
    <w:tmpl w:val="82E8A5FE"/>
    <w:lvl w:ilvl="0" w:tplc="8C1C76BC">
      <w:numFmt w:val="bullet"/>
      <w:lvlText w:val=""/>
      <w:lvlJc w:val="left"/>
      <w:pPr>
        <w:ind w:left="640" w:hanging="181"/>
      </w:pPr>
      <w:rPr>
        <w:rFonts w:ascii="Symbol" w:eastAsia="Symbol" w:hAnsi="Symbol" w:cs="Symbol" w:hint="default"/>
        <w:w w:val="100"/>
        <w:sz w:val="22"/>
        <w:szCs w:val="22"/>
      </w:rPr>
    </w:lvl>
    <w:lvl w:ilvl="1" w:tplc="8042EE44">
      <w:numFmt w:val="bullet"/>
      <w:lvlText w:val="•"/>
      <w:lvlJc w:val="left"/>
      <w:pPr>
        <w:ind w:left="1676" w:hanging="181"/>
      </w:pPr>
      <w:rPr>
        <w:rFonts w:hint="default"/>
      </w:rPr>
    </w:lvl>
    <w:lvl w:ilvl="2" w:tplc="5DEE0A0A">
      <w:numFmt w:val="bullet"/>
      <w:lvlText w:val="•"/>
      <w:lvlJc w:val="left"/>
      <w:pPr>
        <w:ind w:left="2712" w:hanging="181"/>
      </w:pPr>
      <w:rPr>
        <w:rFonts w:hint="default"/>
      </w:rPr>
    </w:lvl>
    <w:lvl w:ilvl="3" w:tplc="667CFCCE">
      <w:numFmt w:val="bullet"/>
      <w:lvlText w:val="•"/>
      <w:lvlJc w:val="left"/>
      <w:pPr>
        <w:ind w:left="3748" w:hanging="181"/>
      </w:pPr>
      <w:rPr>
        <w:rFonts w:hint="default"/>
      </w:rPr>
    </w:lvl>
    <w:lvl w:ilvl="4" w:tplc="015689A6">
      <w:numFmt w:val="bullet"/>
      <w:lvlText w:val="•"/>
      <w:lvlJc w:val="left"/>
      <w:pPr>
        <w:ind w:left="4784" w:hanging="181"/>
      </w:pPr>
      <w:rPr>
        <w:rFonts w:hint="default"/>
      </w:rPr>
    </w:lvl>
    <w:lvl w:ilvl="5" w:tplc="27EABB8C">
      <w:numFmt w:val="bullet"/>
      <w:lvlText w:val="•"/>
      <w:lvlJc w:val="left"/>
      <w:pPr>
        <w:ind w:left="5820" w:hanging="181"/>
      </w:pPr>
      <w:rPr>
        <w:rFonts w:hint="default"/>
      </w:rPr>
    </w:lvl>
    <w:lvl w:ilvl="6" w:tplc="697C4E58">
      <w:numFmt w:val="bullet"/>
      <w:lvlText w:val="•"/>
      <w:lvlJc w:val="left"/>
      <w:pPr>
        <w:ind w:left="6856" w:hanging="181"/>
      </w:pPr>
      <w:rPr>
        <w:rFonts w:hint="default"/>
      </w:rPr>
    </w:lvl>
    <w:lvl w:ilvl="7" w:tplc="0144CBE8">
      <w:numFmt w:val="bullet"/>
      <w:lvlText w:val="•"/>
      <w:lvlJc w:val="left"/>
      <w:pPr>
        <w:ind w:left="7892" w:hanging="181"/>
      </w:pPr>
      <w:rPr>
        <w:rFonts w:hint="default"/>
      </w:rPr>
    </w:lvl>
    <w:lvl w:ilvl="8" w:tplc="42B46638">
      <w:numFmt w:val="bullet"/>
      <w:lvlText w:val="•"/>
      <w:lvlJc w:val="left"/>
      <w:pPr>
        <w:ind w:left="8928" w:hanging="1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58"/>
    <w:rsid w:val="001639F1"/>
    <w:rsid w:val="0036334F"/>
    <w:rsid w:val="00BB0503"/>
    <w:rsid w:val="00DC0977"/>
    <w:rsid w:val="00E97D58"/>
    <w:rsid w:val="00F2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73E6"/>
  <w15:docId w15:val="{5BBE18CF-B266-4282-B4FF-A19BEB05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16" w:line="252" w:lineRule="exact"/>
      <w:ind w:left="640" w:right="192"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Sterrett</dc:creator>
  <cp:lastModifiedBy>Schneider,Eric A.</cp:lastModifiedBy>
  <cp:revision>3</cp:revision>
  <dcterms:created xsi:type="dcterms:W3CDTF">2018-09-24T18:39:00Z</dcterms:created>
  <dcterms:modified xsi:type="dcterms:W3CDTF">2018-09-24T18:42:00Z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Creator">
    <vt:lpwstr>Microsoft® Word 2016</vt:lpwstr>
  </property>
  <property fmtid="{D5CDD505-2E9C-101B-9397-08002B2CF9AE}" pid="4" name="LastSaved">
    <vt:filetime>2017-09-12T00:00:00Z</vt:filetime>
  </property>
</Properties>
</file>