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0542" w14:textId="20929796" w:rsidR="00B762D7" w:rsidRPr="00960E45" w:rsidRDefault="000B75FB" w:rsidP="00124AA3">
      <w:pPr>
        <w:jc w:val="center"/>
        <w:rPr>
          <w:b/>
        </w:rPr>
      </w:pPr>
      <w:r w:rsidRPr="00960E45">
        <w:rPr>
          <w:b/>
        </w:rPr>
        <w:t>Composition</w:t>
      </w:r>
      <w:r w:rsidR="00AA1FE8" w:rsidRPr="00960E45">
        <w:rPr>
          <w:b/>
        </w:rPr>
        <w:t xml:space="preserve"> Program R</w:t>
      </w:r>
      <w:r w:rsidRPr="00960E45">
        <w:rPr>
          <w:b/>
        </w:rPr>
        <w:t xml:space="preserve">eport AY </w:t>
      </w:r>
      <w:r w:rsidR="00412A2F" w:rsidRPr="00960E45">
        <w:rPr>
          <w:b/>
        </w:rPr>
        <w:t>2020</w:t>
      </w:r>
      <w:r w:rsidR="00075906" w:rsidRPr="00960E45">
        <w:rPr>
          <w:b/>
        </w:rPr>
        <w:t>-202</w:t>
      </w:r>
      <w:r w:rsidR="00412A2F" w:rsidRPr="00960E45">
        <w:rPr>
          <w:b/>
        </w:rPr>
        <w:t>1</w:t>
      </w:r>
    </w:p>
    <w:p w14:paraId="5BE03C72" w14:textId="77777777" w:rsidR="00A60E45" w:rsidRPr="00960E45" w:rsidRDefault="002C2291" w:rsidP="00124AA3">
      <w:pPr>
        <w:jc w:val="center"/>
        <w:rPr>
          <w:bCs/>
        </w:rPr>
      </w:pPr>
      <w:r w:rsidRPr="00960E45">
        <w:rPr>
          <w:bCs/>
        </w:rPr>
        <w:t>Andrea Olinger, Director of Composition</w:t>
      </w:r>
    </w:p>
    <w:p w14:paraId="64669389" w14:textId="5E85A0BF" w:rsidR="000B75FB" w:rsidRPr="00960E45" w:rsidRDefault="009E7E58" w:rsidP="00124AA3">
      <w:pPr>
        <w:jc w:val="center"/>
        <w:rPr>
          <w:b/>
        </w:rPr>
      </w:pPr>
      <w:r w:rsidRPr="00960E45">
        <w:rPr>
          <w:bCs/>
        </w:rPr>
        <w:t>Filed in August 2021</w:t>
      </w:r>
    </w:p>
    <w:p w14:paraId="4C61B2C9" w14:textId="1057DB19" w:rsidR="002C2291" w:rsidRPr="00960E45" w:rsidRDefault="002C2291">
      <w:pPr>
        <w:rPr>
          <w:b/>
          <w:bCs/>
          <w:i/>
          <w:iCs/>
        </w:rPr>
      </w:pPr>
      <w:r w:rsidRPr="00960E45">
        <w:rPr>
          <w:b/>
          <w:bCs/>
          <w:i/>
          <w:iCs/>
        </w:rPr>
        <w:t>Courses Taught</w:t>
      </w:r>
    </w:p>
    <w:p w14:paraId="4E36D173" w14:textId="3BCD02E8" w:rsidR="000B75FB" w:rsidRPr="00960E45" w:rsidRDefault="006C02DC">
      <w:r w:rsidRPr="00960E45">
        <w:rPr>
          <w:shd w:val="clear" w:color="auto" w:fill="FFFFFF" w:themeFill="background1"/>
        </w:rPr>
        <w:t xml:space="preserve">In Fall </w:t>
      </w:r>
      <w:r w:rsidR="00D949FA" w:rsidRPr="00960E45">
        <w:rPr>
          <w:shd w:val="clear" w:color="auto" w:fill="FFFFFF" w:themeFill="background1"/>
        </w:rPr>
        <w:t>2020</w:t>
      </w:r>
      <w:r w:rsidRPr="00960E45">
        <w:rPr>
          <w:shd w:val="clear" w:color="auto" w:fill="FFFFFF" w:themeFill="background1"/>
        </w:rPr>
        <w:t>, Spring 202</w:t>
      </w:r>
      <w:r w:rsidR="00D949FA" w:rsidRPr="00960E45">
        <w:rPr>
          <w:shd w:val="clear" w:color="auto" w:fill="FFFFFF" w:themeFill="background1"/>
        </w:rPr>
        <w:t>1</w:t>
      </w:r>
      <w:r w:rsidRPr="00960E45">
        <w:rPr>
          <w:shd w:val="clear" w:color="auto" w:fill="FFFFFF" w:themeFill="background1"/>
        </w:rPr>
        <w:t>, and Summer 202</w:t>
      </w:r>
      <w:r w:rsidR="00D949FA" w:rsidRPr="00960E45">
        <w:rPr>
          <w:shd w:val="clear" w:color="auto" w:fill="FFFFFF" w:themeFill="background1"/>
        </w:rPr>
        <w:t>1</w:t>
      </w:r>
      <w:r w:rsidR="000B75FB" w:rsidRPr="00960E45">
        <w:rPr>
          <w:shd w:val="clear" w:color="auto" w:fill="FFFFFF" w:themeFill="background1"/>
        </w:rPr>
        <w:t xml:space="preserve">, </w:t>
      </w:r>
      <w:r w:rsidR="002C2291" w:rsidRPr="00960E45">
        <w:rPr>
          <w:shd w:val="clear" w:color="auto" w:fill="FFFFFF" w:themeFill="background1"/>
        </w:rPr>
        <w:t>the</w:t>
      </w:r>
      <w:r w:rsidR="000B75FB" w:rsidRPr="00960E45">
        <w:rPr>
          <w:shd w:val="clear" w:color="auto" w:fill="FFFFFF" w:themeFill="background1"/>
        </w:rPr>
        <w:t xml:space="preserve"> </w:t>
      </w:r>
      <w:r w:rsidR="002C2291" w:rsidRPr="00960E45">
        <w:rPr>
          <w:shd w:val="clear" w:color="auto" w:fill="FFFFFF" w:themeFill="background1"/>
        </w:rPr>
        <w:t>c</w:t>
      </w:r>
      <w:r w:rsidR="000B75FB" w:rsidRPr="00960E45">
        <w:rPr>
          <w:shd w:val="clear" w:color="auto" w:fill="FFFFFF" w:themeFill="background1"/>
        </w:rPr>
        <w:t xml:space="preserve">omposition program taught </w:t>
      </w:r>
      <w:r w:rsidR="00D949FA" w:rsidRPr="00960E45">
        <w:rPr>
          <w:shd w:val="clear" w:color="auto" w:fill="FFFFFF" w:themeFill="background1"/>
        </w:rPr>
        <w:t>206</w:t>
      </w:r>
      <w:r w:rsidR="00A11AD6" w:rsidRPr="00960E45">
        <w:rPr>
          <w:shd w:val="clear" w:color="auto" w:fill="FFFFFF" w:themeFill="background1"/>
        </w:rPr>
        <w:t xml:space="preserve"> sections (</w:t>
      </w:r>
      <w:r w:rsidR="00D949FA" w:rsidRPr="00960E45">
        <w:rPr>
          <w:shd w:val="clear" w:color="auto" w:fill="FFFFFF" w:themeFill="background1"/>
        </w:rPr>
        <w:t>18</w:t>
      </w:r>
      <w:r w:rsidR="00A11AD6" w:rsidRPr="00960E45">
        <w:rPr>
          <w:shd w:val="clear" w:color="auto" w:fill="FFFFFF" w:themeFill="background1"/>
        </w:rPr>
        <w:t xml:space="preserve"> fewer than AY </w:t>
      </w:r>
      <w:r w:rsidR="00D949FA" w:rsidRPr="00960E45">
        <w:rPr>
          <w:shd w:val="clear" w:color="auto" w:fill="FFFFFF" w:themeFill="background1"/>
        </w:rPr>
        <w:t>2019-2020</w:t>
      </w:r>
      <w:r w:rsidR="00A11AD6" w:rsidRPr="00960E45">
        <w:rPr>
          <w:shd w:val="clear" w:color="auto" w:fill="FFFFFF" w:themeFill="background1"/>
        </w:rPr>
        <w:t>)</w:t>
      </w:r>
      <w:r w:rsidR="000A3276" w:rsidRPr="00960E45">
        <w:rPr>
          <w:shd w:val="clear" w:color="auto" w:fill="FFFFFF" w:themeFill="background1"/>
        </w:rPr>
        <w:t>.</w:t>
      </w:r>
      <w:r w:rsidR="000A3276" w:rsidRPr="00960E45">
        <w:t xml:space="preserve"> </w:t>
      </w:r>
      <w:r w:rsidR="00D10D45" w:rsidRPr="00960E45">
        <w:t>According to Institutional Research, this amounted to 4,</w:t>
      </w:r>
      <w:r w:rsidR="00A131D5" w:rsidRPr="00960E45">
        <w:t xml:space="preserve">688 </w:t>
      </w:r>
      <w:r w:rsidR="00D10D45" w:rsidRPr="00960E45">
        <w:t>students.</w:t>
      </w:r>
    </w:p>
    <w:p w14:paraId="2420906D" w14:textId="5FFD07C0" w:rsidR="002C2291" w:rsidRPr="00960E45" w:rsidRDefault="002C2291">
      <w:pPr>
        <w:rPr>
          <w:highlight w:val="yellow"/>
        </w:rPr>
      </w:pPr>
    </w:p>
    <w:p w14:paraId="091F4C63" w14:textId="457DA597" w:rsidR="00D02205" w:rsidRPr="00960E45" w:rsidRDefault="00D02205">
      <w:r w:rsidRPr="00960E45">
        <w:t>Table 1. Number of Students Per Course and Semester</w:t>
      </w: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1615"/>
        <w:gridCol w:w="1975"/>
        <w:gridCol w:w="1890"/>
        <w:gridCol w:w="1800"/>
        <w:gridCol w:w="1350"/>
      </w:tblGrid>
      <w:tr w:rsidR="00D949FA" w:rsidRPr="00960E45" w14:paraId="475CA1C2" w14:textId="77777777" w:rsidTr="00D949FA">
        <w:tc>
          <w:tcPr>
            <w:tcW w:w="1615" w:type="dxa"/>
          </w:tcPr>
          <w:p w14:paraId="25D08928" w14:textId="1CADF3B4" w:rsidR="00D949FA" w:rsidRPr="00960E45" w:rsidRDefault="00D949FA" w:rsidP="00D949FA">
            <w:r w:rsidRPr="00960E45">
              <w:rPr>
                <w:b/>
                <w:bCs/>
              </w:rPr>
              <w:t>Course</w:t>
            </w:r>
          </w:p>
        </w:tc>
        <w:tc>
          <w:tcPr>
            <w:tcW w:w="1975" w:type="dxa"/>
          </w:tcPr>
          <w:p w14:paraId="47850BFE" w14:textId="4ED24C04" w:rsidR="00D949FA" w:rsidRPr="00960E45" w:rsidRDefault="00D949FA" w:rsidP="00D949FA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Fall 2020</w:t>
            </w:r>
          </w:p>
        </w:tc>
        <w:tc>
          <w:tcPr>
            <w:tcW w:w="1890" w:type="dxa"/>
          </w:tcPr>
          <w:p w14:paraId="5629E36B" w14:textId="0034C56B" w:rsidR="00D949FA" w:rsidRPr="00960E45" w:rsidRDefault="00D949FA" w:rsidP="00D949FA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Spring 2021</w:t>
            </w:r>
          </w:p>
        </w:tc>
        <w:tc>
          <w:tcPr>
            <w:tcW w:w="1800" w:type="dxa"/>
          </w:tcPr>
          <w:p w14:paraId="2006590A" w14:textId="6AE0D442" w:rsidR="00D949FA" w:rsidRPr="00960E45" w:rsidRDefault="00D949FA" w:rsidP="00D949FA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Summer 2021</w:t>
            </w:r>
          </w:p>
        </w:tc>
        <w:tc>
          <w:tcPr>
            <w:tcW w:w="1350" w:type="dxa"/>
          </w:tcPr>
          <w:p w14:paraId="2E928DF4" w14:textId="2BB08B0E" w:rsidR="00D949FA" w:rsidRPr="00960E45" w:rsidRDefault="007F7B54" w:rsidP="00D949FA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Total</w:t>
            </w:r>
          </w:p>
        </w:tc>
      </w:tr>
      <w:tr w:rsidR="00D949FA" w:rsidRPr="00960E45" w14:paraId="4D979F07" w14:textId="77777777" w:rsidTr="00D949FA">
        <w:tc>
          <w:tcPr>
            <w:tcW w:w="1615" w:type="dxa"/>
          </w:tcPr>
          <w:p w14:paraId="19E9D6ED" w14:textId="586AFB5C" w:rsidR="00D949FA" w:rsidRPr="00960E45" w:rsidRDefault="00D949FA" w:rsidP="00D949FA">
            <w:r w:rsidRPr="00960E45">
              <w:t>101</w:t>
            </w:r>
          </w:p>
        </w:tc>
        <w:tc>
          <w:tcPr>
            <w:tcW w:w="1975" w:type="dxa"/>
          </w:tcPr>
          <w:p w14:paraId="47B65A54" w14:textId="3D97FBFF" w:rsidR="00D949FA" w:rsidRPr="00960E45" w:rsidRDefault="007F7B54" w:rsidP="00D949FA">
            <w:r w:rsidRPr="00960E45">
              <w:t>330</w:t>
            </w:r>
          </w:p>
        </w:tc>
        <w:tc>
          <w:tcPr>
            <w:tcW w:w="1890" w:type="dxa"/>
          </w:tcPr>
          <w:p w14:paraId="39B433F7" w14:textId="24B8CDD0" w:rsidR="00D949FA" w:rsidRPr="00960E45" w:rsidRDefault="007F7B54" w:rsidP="00D949FA">
            <w:r w:rsidRPr="00960E45">
              <w:t>1449</w:t>
            </w:r>
          </w:p>
        </w:tc>
        <w:tc>
          <w:tcPr>
            <w:tcW w:w="1800" w:type="dxa"/>
          </w:tcPr>
          <w:p w14:paraId="513A5057" w14:textId="39E84B7D" w:rsidR="00D949FA" w:rsidRPr="00960E45" w:rsidRDefault="007F7B54" w:rsidP="00D949FA">
            <w:r w:rsidRPr="00960E45">
              <w:t>30</w:t>
            </w:r>
          </w:p>
        </w:tc>
        <w:tc>
          <w:tcPr>
            <w:tcW w:w="1350" w:type="dxa"/>
          </w:tcPr>
          <w:p w14:paraId="4528E9A1" w14:textId="6F4515DF" w:rsidR="00D949FA" w:rsidRPr="00960E45" w:rsidRDefault="007F7B54" w:rsidP="00D949FA">
            <w:r w:rsidRPr="00960E45">
              <w:t>1809</w:t>
            </w:r>
          </w:p>
        </w:tc>
      </w:tr>
      <w:tr w:rsidR="00D949FA" w:rsidRPr="00960E45" w14:paraId="093B1A26" w14:textId="77777777" w:rsidTr="00D949FA">
        <w:tc>
          <w:tcPr>
            <w:tcW w:w="1615" w:type="dxa"/>
          </w:tcPr>
          <w:p w14:paraId="4DDA26DC" w14:textId="1B39D064" w:rsidR="00D949FA" w:rsidRPr="00960E45" w:rsidRDefault="00D949FA" w:rsidP="00D949FA">
            <w:r w:rsidRPr="00960E45">
              <w:t>102</w:t>
            </w:r>
          </w:p>
        </w:tc>
        <w:tc>
          <w:tcPr>
            <w:tcW w:w="1975" w:type="dxa"/>
          </w:tcPr>
          <w:p w14:paraId="4CBCABB4" w14:textId="2DC6149F" w:rsidR="00D949FA" w:rsidRPr="00960E45" w:rsidRDefault="007F7B54" w:rsidP="00D949FA">
            <w:r w:rsidRPr="00960E45">
              <w:t>1364</w:t>
            </w:r>
          </w:p>
        </w:tc>
        <w:tc>
          <w:tcPr>
            <w:tcW w:w="1890" w:type="dxa"/>
          </w:tcPr>
          <w:p w14:paraId="7D140243" w14:textId="1943972F" w:rsidR="00D949FA" w:rsidRPr="00960E45" w:rsidRDefault="007F7B54" w:rsidP="00D949FA">
            <w:r w:rsidRPr="00960E45">
              <w:t>819</w:t>
            </w:r>
          </w:p>
        </w:tc>
        <w:tc>
          <w:tcPr>
            <w:tcW w:w="1800" w:type="dxa"/>
          </w:tcPr>
          <w:p w14:paraId="03A7B76F" w14:textId="452B5D9B" w:rsidR="00D949FA" w:rsidRPr="00960E45" w:rsidRDefault="007F7B54" w:rsidP="00D949FA">
            <w:r w:rsidRPr="00960E45">
              <w:t>70</w:t>
            </w:r>
          </w:p>
        </w:tc>
        <w:tc>
          <w:tcPr>
            <w:tcW w:w="1350" w:type="dxa"/>
          </w:tcPr>
          <w:p w14:paraId="5434D0CD" w14:textId="5B938BE2" w:rsidR="00D949FA" w:rsidRPr="00960E45" w:rsidRDefault="007F7B54" w:rsidP="00D949FA">
            <w:r w:rsidRPr="00960E45">
              <w:t>2253</w:t>
            </w:r>
          </w:p>
        </w:tc>
      </w:tr>
      <w:tr w:rsidR="00D949FA" w:rsidRPr="00960E45" w14:paraId="2525DC23" w14:textId="77777777" w:rsidTr="00D949FA">
        <w:tc>
          <w:tcPr>
            <w:tcW w:w="1615" w:type="dxa"/>
          </w:tcPr>
          <w:p w14:paraId="52BFEFC4" w14:textId="13FC493F" w:rsidR="00D949FA" w:rsidRPr="00960E45" w:rsidRDefault="00D949FA" w:rsidP="00D949FA">
            <w:r w:rsidRPr="00960E45">
              <w:t>105</w:t>
            </w:r>
          </w:p>
        </w:tc>
        <w:tc>
          <w:tcPr>
            <w:tcW w:w="1975" w:type="dxa"/>
          </w:tcPr>
          <w:p w14:paraId="3B66D6D5" w14:textId="7845799E" w:rsidR="00D949FA" w:rsidRPr="00960E45" w:rsidRDefault="007F7B54" w:rsidP="00D949FA">
            <w:r w:rsidRPr="00960E45">
              <w:t>51</w:t>
            </w:r>
          </w:p>
        </w:tc>
        <w:tc>
          <w:tcPr>
            <w:tcW w:w="1890" w:type="dxa"/>
          </w:tcPr>
          <w:p w14:paraId="734C779A" w14:textId="1C75CCAF" w:rsidR="00D949FA" w:rsidRPr="00960E45" w:rsidRDefault="007F7B54" w:rsidP="00D949FA">
            <w:r w:rsidRPr="00960E45">
              <w:t>173</w:t>
            </w:r>
          </w:p>
        </w:tc>
        <w:tc>
          <w:tcPr>
            <w:tcW w:w="1800" w:type="dxa"/>
          </w:tcPr>
          <w:p w14:paraId="5795410F" w14:textId="6E3A15C9" w:rsidR="00D949FA" w:rsidRPr="00960E45" w:rsidRDefault="007F7B54" w:rsidP="00D949FA">
            <w:r w:rsidRPr="00960E45">
              <w:t>0</w:t>
            </w:r>
          </w:p>
        </w:tc>
        <w:tc>
          <w:tcPr>
            <w:tcW w:w="1350" w:type="dxa"/>
          </w:tcPr>
          <w:p w14:paraId="13EDCEDE" w14:textId="16C5D354" w:rsidR="00D949FA" w:rsidRPr="00960E45" w:rsidRDefault="007F7B54" w:rsidP="00D949FA">
            <w:r w:rsidRPr="00960E45">
              <w:t>224</w:t>
            </w:r>
          </w:p>
        </w:tc>
      </w:tr>
      <w:tr w:rsidR="00D949FA" w:rsidRPr="00960E45" w14:paraId="212E2823" w14:textId="77777777" w:rsidTr="00D949FA">
        <w:tc>
          <w:tcPr>
            <w:tcW w:w="1615" w:type="dxa"/>
          </w:tcPr>
          <w:p w14:paraId="3C9EC10C" w14:textId="5092C336" w:rsidR="00D949FA" w:rsidRPr="00960E45" w:rsidRDefault="00D949FA" w:rsidP="00D949FA">
            <w:r w:rsidRPr="00960E45">
              <w:t>303</w:t>
            </w:r>
          </w:p>
        </w:tc>
        <w:tc>
          <w:tcPr>
            <w:tcW w:w="1975" w:type="dxa"/>
          </w:tcPr>
          <w:p w14:paraId="387AFB1D" w14:textId="0F800FE1" w:rsidR="00D949FA" w:rsidRPr="00960E45" w:rsidRDefault="007F7B54" w:rsidP="00D949FA">
            <w:r w:rsidRPr="00960E45">
              <w:t>30</w:t>
            </w:r>
          </w:p>
        </w:tc>
        <w:tc>
          <w:tcPr>
            <w:tcW w:w="1890" w:type="dxa"/>
          </w:tcPr>
          <w:p w14:paraId="61005D8D" w14:textId="47FF63CE" w:rsidR="00D949FA" w:rsidRPr="00960E45" w:rsidRDefault="007F7B54" w:rsidP="00D949FA">
            <w:r w:rsidRPr="00960E45">
              <w:t>23</w:t>
            </w:r>
          </w:p>
        </w:tc>
        <w:tc>
          <w:tcPr>
            <w:tcW w:w="1800" w:type="dxa"/>
          </w:tcPr>
          <w:p w14:paraId="6611D824" w14:textId="68E5C6A7" w:rsidR="00D949FA" w:rsidRPr="00960E45" w:rsidRDefault="007F7B54" w:rsidP="00D949FA">
            <w:r w:rsidRPr="00960E45">
              <w:t>10</w:t>
            </w:r>
          </w:p>
        </w:tc>
        <w:tc>
          <w:tcPr>
            <w:tcW w:w="1350" w:type="dxa"/>
          </w:tcPr>
          <w:p w14:paraId="559DC8D3" w14:textId="56452303" w:rsidR="00D949FA" w:rsidRPr="00960E45" w:rsidRDefault="007F7B54" w:rsidP="00D949FA">
            <w:r w:rsidRPr="00960E45">
              <w:t>63</w:t>
            </w:r>
          </w:p>
        </w:tc>
      </w:tr>
      <w:tr w:rsidR="00D949FA" w:rsidRPr="00960E45" w14:paraId="64C1B268" w14:textId="77777777" w:rsidTr="00D949FA">
        <w:tc>
          <w:tcPr>
            <w:tcW w:w="1615" w:type="dxa"/>
          </w:tcPr>
          <w:p w14:paraId="656A2D03" w14:textId="2957D9D7" w:rsidR="00D949FA" w:rsidRPr="00960E45" w:rsidRDefault="00D949FA" w:rsidP="00D949FA">
            <w:r w:rsidRPr="00960E45">
              <w:t>306</w:t>
            </w:r>
          </w:p>
        </w:tc>
        <w:tc>
          <w:tcPr>
            <w:tcW w:w="1975" w:type="dxa"/>
          </w:tcPr>
          <w:p w14:paraId="02C68642" w14:textId="4154CD1D" w:rsidR="00D949FA" w:rsidRPr="00960E45" w:rsidRDefault="007F7B54" w:rsidP="00D949FA">
            <w:r w:rsidRPr="00960E45">
              <w:t>112</w:t>
            </w:r>
          </w:p>
        </w:tc>
        <w:tc>
          <w:tcPr>
            <w:tcW w:w="1890" w:type="dxa"/>
          </w:tcPr>
          <w:p w14:paraId="151946A7" w14:textId="5D24EC28" w:rsidR="00D949FA" w:rsidRPr="00960E45" w:rsidRDefault="007F7B54" w:rsidP="00D949FA">
            <w:r w:rsidRPr="00960E45">
              <w:t>153</w:t>
            </w:r>
          </w:p>
        </w:tc>
        <w:tc>
          <w:tcPr>
            <w:tcW w:w="1800" w:type="dxa"/>
          </w:tcPr>
          <w:p w14:paraId="05B842C0" w14:textId="379B56E6" w:rsidR="00D949FA" w:rsidRPr="00960E45" w:rsidRDefault="007F7B54" w:rsidP="00D949FA">
            <w:r w:rsidRPr="00960E45">
              <w:t>14</w:t>
            </w:r>
          </w:p>
        </w:tc>
        <w:tc>
          <w:tcPr>
            <w:tcW w:w="1350" w:type="dxa"/>
          </w:tcPr>
          <w:p w14:paraId="08E56E36" w14:textId="187B9602" w:rsidR="00D949FA" w:rsidRPr="00960E45" w:rsidRDefault="007F7B54" w:rsidP="00D949FA">
            <w:r w:rsidRPr="00960E45">
              <w:t>279</w:t>
            </w:r>
          </w:p>
        </w:tc>
      </w:tr>
      <w:tr w:rsidR="00D949FA" w:rsidRPr="00960E45" w14:paraId="44D48874" w14:textId="77777777" w:rsidTr="00D949FA">
        <w:tc>
          <w:tcPr>
            <w:tcW w:w="1615" w:type="dxa"/>
          </w:tcPr>
          <w:p w14:paraId="0144D1B8" w14:textId="2A4CE42C" w:rsidR="00D949FA" w:rsidRPr="00960E45" w:rsidRDefault="00D949FA" w:rsidP="00D949FA">
            <w:r w:rsidRPr="00960E45">
              <w:t>309</w:t>
            </w:r>
          </w:p>
        </w:tc>
        <w:tc>
          <w:tcPr>
            <w:tcW w:w="1975" w:type="dxa"/>
          </w:tcPr>
          <w:p w14:paraId="75E620BC" w14:textId="3395B3DF" w:rsidR="00D949FA" w:rsidRPr="00960E45" w:rsidRDefault="007F7B54" w:rsidP="00D949FA">
            <w:r w:rsidRPr="00960E45">
              <w:t>24</w:t>
            </w:r>
          </w:p>
        </w:tc>
        <w:tc>
          <w:tcPr>
            <w:tcW w:w="1890" w:type="dxa"/>
          </w:tcPr>
          <w:p w14:paraId="1882CE26" w14:textId="6957D7CD" w:rsidR="00D949FA" w:rsidRPr="00960E45" w:rsidRDefault="007F7B54" w:rsidP="00D949FA">
            <w:r w:rsidRPr="00960E45">
              <w:t>21</w:t>
            </w:r>
          </w:p>
        </w:tc>
        <w:tc>
          <w:tcPr>
            <w:tcW w:w="1800" w:type="dxa"/>
          </w:tcPr>
          <w:p w14:paraId="6D2B5966" w14:textId="6B655B0F" w:rsidR="00D949FA" w:rsidRPr="00960E45" w:rsidRDefault="007F7B54" w:rsidP="00D949FA">
            <w:r w:rsidRPr="00960E45">
              <w:t>15</w:t>
            </w:r>
          </w:p>
        </w:tc>
        <w:tc>
          <w:tcPr>
            <w:tcW w:w="1350" w:type="dxa"/>
          </w:tcPr>
          <w:p w14:paraId="331196D7" w14:textId="3BB3D21C" w:rsidR="00D949FA" w:rsidRPr="00960E45" w:rsidRDefault="007F7B54" w:rsidP="00D949FA">
            <w:r w:rsidRPr="00960E45">
              <w:t>60</w:t>
            </w:r>
          </w:p>
        </w:tc>
      </w:tr>
      <w:tr w:rsidR="00D949FA" w:rsidRPr="00960E45" w14:paraId="3064CD7A" w14:textId="77777777" w:rsidTr="00D949FA">
        <w:tc>
          <w:tcPr>
            <w:tcW w:w="1615" w:type="dxa"/>
          </w:tcPr>
          <w:p w14:paraId="30AFD43D" w14:textId="62DA485F" w:rsidR="00D949FA" w:rsidRPr="00960E45" w:rsidRDefault="00D949FA" w:rsidP="00D949FA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TOTAL</w:t>
            </w:r>
          </w:p>
        </w:tc>
        <w:tc>
          <w:tcPr>
            <w:tcW w:w="1975" w:type="dxa"/>
          </w:tcPr>
          <w:p w14:paraId="28839585" w14:textId="5DF3FEAC" w:rsidR="00D949FA" w:rsidRPr="00960E45" w:rsidRDefault="007F7B54" w:rsidP="00D949FA">
            <w:r w:rsidRPr="00960E45">
              <w:t>1911</w:t>
            </w:r>
          </w:p>
        </w:tc>
        <w:tc>
          <w:tcPr>
            <w:tcW w:w="1890" w:type="dxa"/>
          </w:tcPr>
          <w:p w14:paraId="5B0BDED0" w14:textId="1C8C5974" w:rsidR="00D949FA" w:rsidRPr="00960E45" w:rsidRDefault="007F7B54" w:rsidP="00D949FA">
            <w:r w:rsidRPr="00960E45">
              <w:t>2638</w:t>
            </w:r>
          </w:p>
        </w:tc>
        <w:tc>
          <w:tcPr>
            <w:tcW w:w="1800" w:type="dxa"/>
          </w:tcPr>
          <w:p w14:paraId="716FC70C" w14:textId="70C77DCF" w:rsidR="00D949FA" w:rsidRPr="00960E45" w:rsidRDefault="007F7B54" w:rsidP="00D949FA">
            <w:r w:rsidRPr="00960E45">
              <w:t>139</w:t>
            </w:r>
          </w:p>
        </w:tc>
        <w:tc>
          <w:tcPr>
            <w:tcW w:w="1350" w:type="dxa"/>
          </w:tcPr>
          <w:p w14:paraId="6834105E" w14:textId="497DF7FB" w:rsidR="00D949FA" w:rsidRPr="00960E45" w:rsidRDefault="007F7B54" w:rsidP="00D949FA">
            <w:r w:rsidRPr="00960E45">
              <w:t>4688</w:t>
            </w:r>
          </w:p>
        </w:tc>
      </w:tr>
    </w:tbl>
    <w:p w14:paraId="782ACCE0" w14:textId="1D02B572" w:rsidR="00D949FA" w:rsidRPr="00960E45" w:rsidRDefault="00D949FA">
      <w:pPr>
        <w:rPr>
          <w:highlight w:val="yellow"/>
        </w:rPr>
      </w:pPr>
    </w:p>
    <w:p w14:paraId="0BF7AADD" w14:textId="76A186EF" w:rsidR="00D949FA" w:rsidRPr="00960E45" w:rsidRDefault="00D02205">
      <w:r w:rsidRPr="00960E45">
        <w:t>Table 2. Number of Sections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</w:tblGrid>
      <w:tr w:rsidR="002C2291" w:rsidRPr="00960E45" w14:paraId="6D02E6F9" w14:textId="77777777" w:rsidTr="00A11AD6">
        <w:tc>
          <w:tcPr>
            <w:tcW w:w="1615" w:type="dxa"/>
          </w:tcPr>
          <w:p w14:paraId="4F63C496" w14:textId="51F57CE2" w:rsidR="002C2291" w:rsidRPr="00960E45" w:rsidRDefault="002C2291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Course</w:t>
            </w:r>
          </w:p>
        </w:tc>
        <w:tc>
          <w:tcPr>
            <w:tcW w:w="2970" w:type="dxa"/>
          </w:tcPr>
          <w:p w14:paraId="41797ED1" w14:textId="5561EC07" w:rsidR="002C2291" w:rsidRPr="00960E45" w:rsidRDefault="002C2291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 xml:space="preserve">Number of Sections </w:t>
            </w:r>
          </w:p>
        </w:tc>
      </w:tr>
      <w:tr w:rsidR="002C2291" w:rsidRPr="00960E45" w14:paraId="6DCB3704" w14:textId="77777777" w:rsidTr="00A11AD6">
        <w:tc>
          <w:tcPr>
            <w:tcW w:w="1615" w:type="dxa"/>
          </w:tcPr>
          <w:p w14:paraId="11EB9C78" w14:textId="02BB2CB5" w:rsidR="002C2291" w:rsidRPr="00960E45" w:rsidRDefault="002C2291">
            <w:r w:rsidRPr="00960E45">
              <w:t>101</w:t>
            </w:r>
          </w:p>
        </w:tc>
        <w:tc>
          <w:tcPr>
            <w:tcW w:w="2970" w:type="dxa"/>
          </w:tcPr>
          <w:p w14:paraId="16DE6B68" w14:textId="37537780" w:rsidR="002C2291" w:rsidRPr="00960E45" w:rsidRDefault="00CF4CAB">
            <w:r w:rsidRPr="00960E45">
              <w:t>79</w:t>
            </w:r>
            <w:r w:rsidR="00597E8D" w:rsidRPr="00960E45">
              <w:t xml:space="preserve"> (</w:t>
            </w:r>
            <w:r w:rsidRPr="00960E45">
              <w:t>43</w:t>
            </w:r>
            <w:r w:rsidR="00A11AD6" w:rsidRPr="00960E45">
              <w:t xml:space="preserve"> of which were</w:t>
            </w:r>
            <w:r w:rsidR="00597E8D" w:rsidRPr="00960E45">
              <w:t xml:space="preserve"> DE)</w:t>
            </w:r>
          </w:p>
        </w:tc>
      </w:tr>
      <w:tr w:rsidR="002C2291" w:rsidRPr="00960E45" w14:paraId="07201E33" w14:textId="77777777" w:rsidTr="00A11AD6">
        <w:tc>
          <w:tcPr>
            <w:tcW w:w="1615" w:type="dxa"/>
          </w:tcPr>
          <w:p w14:paraId="5ABB58B1" w14:textId="4E246F52" w:rsidR="002C2291" w:rsidRPr="00960E45" w:rsidRDefault="002C2291">
            <w:r w:rsidRPr="00960E45">
              <w:t>102</w:t>
            </w:r>
          </w:p>
        </w:tc>
        <w:tc>
          <w:tcPr>
            <w:tcW w:w="2970" w:type="dxa"/>
          </w:tcPr>
          <w:p w14:paraId="604661BB" w14:textId="252DA8D6" w:rsidR="002C2291" w:rsidRPr="00960E45" w:rsidRDefault="00CF4CAB">
            <w:r w:rsidRPr="00960E45">
              <w:t>93</w:t>
            </w:r>
            <w:r w:rsidR="00597E8D" w:rsidRPr="00960E45">
              <w:t xml:space="preserve"> (</w:t>
            </w:r>
            <w:r w:rsidRPr="00960E45">
              <w:t>59</w:t>
            </w:r>
            <w:r w:rsidR="00A11AD6" w:rsidRPr="00960E45">
              <w:t xml:space="preserve"> of which were</w:t>
            </w:r>
            <w:r w:rsidR="00597E8D" w:rsidRPr="00960E45">
              <w:t xml:space="preserve"> DE)</w:t>
            </w:r>
          </w:p>
        </w:tc>
      </w:tr>
      <w:tr w:rsidR="002C2291" w:rsidRPr="00960E45" w14:paraId="319316FF" w14:textId="77777777" w:rsidTr="00A11AD6">
        <w:tc>
          <w:tcPr>
            <w:tcW w:w="1615" w:type="dxa"/>
          </w:tcPr>
          <w:p w14:paraId="4A341E63" w14:textId="417EF499" w:rsidR="002C2291" w:rsidRPr="00960E45" w:rsidRDefault="002C2291">
            <w:r w:rsidRPr="00960E45">
              <w:t>105</w:t>
            </w:r>
          </w:p>
        </w:tc>
        <w:tc>
          <w:tcPr>
            <w:tcW w:w="2970" w:type="dxa"/>
          </w:tcPr>
          <w:p w14:paraId="4C7EA52A" w14:textId="1A968874" w:rsidR="002C2291" w:rsidRPr="00960E45" w:rsidRDefault="00CF4CAB">
            <w:r w:rsidRPr="00960E45">
              <w:t>11 (4 of which were DE)</w:t>
            </w:r>
          </w:p>
        </w:tc>
      </w:tr>
      <w:tr w:rsidR="002C2291" w:rsidRPr="00960E45" w14:paraId="6DA7BF2F" w14:textId="77777777" w:rsidTr="00A11AD6">
        <w:tc>
          <w:tcPr>
            <w:tcW w:w="1615" w:type="dxa"/>
          </w:tcPr>
          <w:p w14:paraId="5F4681DE" w14:textId="2F4F99C4" w:rsidR="002C2291" w:rsidRPr="00960E45" w:rsidRDefault="002C2291">
            <w:r w:rsidRPr="00960E45">
              <w:t>303</w:t>
            </w:r>
          </w:p>
        </w:tc>
        <w:tc>
          <w:tcPr>
            <w:tcW w:w="2970" w:type="dxa"/>
          </w:tcPr>
          <w:p w14:paraId="2EF0F9B1" w14:textId="0CF27F22" w:rsidR="002C2291" w:rsidRPr="00960E45" w:rsidRDefault="00CF4CAB">
            <w:r w:rsidRPr="00960E45">
              <w:t>4 (3 of which were DE)</w:t>
            </w:r>
          </w:p>
        </w:tc>
      </w:tr>
      <w:tr w:rsidR="002C2291" w:rsidRPr="00960E45" w14:paraId="27A96CE2" w14:textId="77777777" w:rsidTr="00A11AD6">
        <w:tc>
          <w:tcPr>
            <w:tcW w:w="1615" w:type="dxa"/>
          </w:tcPr>
          <w:p w14:paraId="58F01DCC" w14:textId="51D8ED2F" w:rsidR="002C2291" w:rsidRPr="00960E45" w:rsidRDefault="002C2291">
            <w:r w:rsidRPr="00960E45">
              <w:t>306</w:t>
            </w:r>
          </w:p>
        </w:tc>
        <w:tc>
          <w:tcPr>
            <w:tcW w:w="2970" w:type="dxa"/>
          </w:tcPr>
          <w:p w14:paraId="0EB3ED75" w14:textId="50CC65A9" w:rsidR="002C2291" w:rsidRPr="00960E45" w:rsidRDefault="00CF4CAB">
            <w:r w:rsidRPr="00960E45">
              <w:t>16</w:t>
            </w:r>
            <w:r w:rsidR="00597E8D" w:rsidRPr="00960E45">
              <w:t xml:space="preserve"> (</w:t>
            </w:r>
            <w:r w:rsidR="00A11AD6" w:rsidRPr="00960E45">
              <w:t>1</w:t>
            </w:r>
            <w:r w:rsidRPr="00960E45">
              <w:t>4</w:t>
            </w:r>
            <w:r w:rsidR="00A11AD6" w:rsidRPr="00960E45">
              <w:t xml:space="preserve"> of which were</w:t>
            </w:r>
            <w:r w:rsidR="00597E8D" w:rsidRPr="00960E45">
              <w:t xml:space="preserve"> DE)</w:t>
            </w:r>
          </w:p>
        </w:tc>
      </w:tr>
      <w:tr w:rsidR="002C2291" w:rsidRPr="00960E45" w14:paraId="17C54FBF" w14:textId="77777777" w:rsidTr="00A11AD6">
        <w:tc>
          <w:tcPr>
            <w:tcW w:w="1615" w:type="dxa"/>
          </w:tcPr>
          <w:p w14:paraId="0B4257CA" w14:textId="1BEE3909" w:rsidR="002C2291" w:rsidRPr="00960E45" w:rsidRDefault="002C2291">
            <w:r w:rsidRPr="00960E45">
              <w:t>309</w:t>
            </w:r>
          </w:p>
        </w:tc>
        <w:tc>
          <w:tcPr>
            <w:tcW w:w="2970" w:type="dxa"/>
          </w:tcPr>
          <w:p w14:paraId="0B2EA6E5" w14:textId="1E7913A5" w:rsidR="002C2291" w:rsidRPr="00960E45" w:rsidRDefault="00A11AD6">
            <w:r w:rsidRPr="00960E45">
              <w:t>3</w:t>
            </w:r>
            <w:r w:rsidR="00CF4CAB" w:rsidRPr="00960E45">
              <w:t xml:space="preserve"> (1 of which was DE)</w:t>
            </w:r>
          </w:p>
        </w:tc>
      </w:tr>
      <w:tr w:rsidR="002C2291" w:rsidRPr="00960E45" w14:paraId="659B7766" w14:textId="77777777" w:rsidTr="00A11AD6">
        <w:tc>
          <w:tcPr>
            <w:tcW w:w="1615" w:type="dxa"/>
          </w:tcPr>
          <w:p w14:paraId="587968C2" w14:textId="0643926D" w:rsidR="002C2291" w:rsidRPr="00960E45" w:rsidRDefault="002C2291">
            <w:r w:rsidRPr="00960E45">
              <w:t>TOTAL</w:t>
            </w:r>
          </w:p>
        </w:tc>
        <w:tc>
          <w:tcPr>
            <w:tcW w:w="2970" w:type="dxa"/>
          </w:tcPr>
          <w:p w14:paraId="44B4C2A1" w14:textId="3DD60131" w:rsidR="002C2291" w:rsidRPr="00960E45" w:rsidRDefault="00CF4CAB">
            <w:r w:rsidRPr="00960E45">
              <w:t>206</w:t>
            </w:r>
            <w:r w:rsidR="00A11AD6" w:rsidRPr="00960E45">
              <w:t xml:space="preserve"> </w:t>
            </w:r>
            <w:r w:rsidR="00597E8D" w:rsidRPr="00960E45">
              <w:t>(</w:t>
            </w:r>
            <w:r w:rsidRPr="00960E45">
              <w:t>124</w:t>
            </w:r>
            <w:r w:rsidR="00A11AD6" w:rsidRPr="00960E45">
              <w:t xml:space="preserve"> of which were</w:t>
            </w:r>
            <w:r w:rsidR="00597E8D" w:rsidRPr="00960E45">
              <w:t xml:space="preserve"> DE)</w:t>
            </w:r>
          </w:p>
        </w:tc>
      </w:tr>
    </w:tbl>
    <w:p w14:paraId="01F5C6A5" w14:textId="622A22CC" w:rsidR="000B75FB" w:rsidRPr="00960E45" w:rsidRDefault="000B75FB" w:rsidP="000B75FB">
      <w:pPr>
        <w:rPr>
          <w:color w:val="FF0000"/>
        </w:rPr>
      </w:pPr>
    </w:p>
    <w:p w14:paraId="3A8C678B" w14:textId="2F827AE2" w:rsidR="000E1438" w:rsidRPr="00960E45" w:rsidRDefault="000E1438" w:rsidP="000B75FB">
      <w:pPr>
        <w:rPr>
          <w:b/>
          <w:bCs/>
          <w:i/>
          <w:iCs/>
          <w:color w:val="000000" w:themeColor="text1"/>
        </w:rPr>
      </w:pPr>
      <w:r w:rsidRPr="00960E45">
        <w:rPr>
          <w:b/>
          <w:bCs/>
          <w:i/>
          <w:iCs/>
          <w:color w:val="000000" w:themeColor="text1"/>
        </w:rPr>
        <w:t>New Hires</w:t>
      </w:r>
    </w:p>
    <w:p w14:paraId="070BA5FC" w14:textId="5AEAB64C" w:rsidR="000E1438" w:rsidRPr="00960E45" w:rsidRDefault="000E1438" w:rsidP="000E1438">
      <w:r w:rsidRPr="00960E45">
        <w:rPr>
          <w:color w:val="000000" w:themeColor="text1"/>
        </w:rPr>
        <w:t>I</w:t>
      </w:r>
      <w:r w:rsidR="00C97284" w:rsidRPr="00960E45">
        <w:rPr>
          <w:color w:val="000000" w:themeColor="text1"/>
        </w:rPr>
        <w:t xml:space="preserve">n summer </w:t>
      </w:r>
      <w:r w:rsidR="00CE68F3" w:rsidRPr="00960E45">
        <w:rPr>
          <w:color w:val="000000" w:themeColor="text1"/>
        </w:rPr>
        <w:t>2020</w:t>
      </w:r>
      <w:r w:rsidR="00C97284" w:rsidRPr="00960E45">
        <w:rPr>
          <w:color w:val="000000" w:themeColor="text1"/>
        </w:rPr>
        <w:t>, I</w:t>
      </w:r>
      <w:r w:rsidRPr="00960E45">
        <w:rPr>
          <w:color w:val="000000" w:themeColor="text1"/>
        </w:rPr>
        <w:t xml:space="preserve"> hired </w:t>
      </w:r>
      <w:r w:rsidR="00CE68F3" w:rsidRPr="00960E45">
        <w:rPr>
          <w:color w:val="000000" w:themeColor="text1"/>
        </w:rPr>
        <w:t xml:space="preserve">two </w:t>
      </w:r>
      <w:r w:rsidRPr="00960E45">
        <w:rPr>
          <w:color w:val="000000" w:themeColor="text1"/>
        </w:rPr>
        <w:t xml:space="preserve">part-time </w:t>
      </w:r>
      <w:r w:rsidR="00CE68F3" w:rsidRPr="00960E45">
        <w:rPr>
          <w:color w:val="000000" w:themeColor="text1"/>
        </w:rPr>
        <w:t xml:space="preserve">instructors who had previous taught composition: Dr. Cassie Book and Jason </w:t>
      </w:r>
      <w:proofErr w:type="spellStart"/>
      <w:r w:rsidR="00CE68F3" w:rsidRPr="00960E45">
        <w:rPr>
          <w:color w:val="000000" w:themeColor="text1"/>
        </w:rPr>
        <w:t>Zah</w:t>
      </w:r>
      <w:r w:rsidR="00F91780" w:rsidRPr="00960E45">
        <w:rPr>
          <w:color w:val="000000" w:themeColor="text1"/>
        </w:rPr>
        <w:t>r</w:t>
      </w:r>
      <w:r w:rsidR="00CE68F3" w:rsidRPr="00960E45">
        <w:rPr>
          <w:color w:val="000000" w:themeColor="text1"/>
        </w:rPr>
        <w:t>ndt</w:t>
      </w:r>
      <w:proofErr w:type="spellEnd"/>
      <w:r w:rsidR="00CE68F3" w:rsidRPr="00960E45">
        <w:rPr>
          <w:color w:val="000000" w:themeColor="text1"/>
        </w:rPr>
        <w:t>.</w:t>
      </w:r>
    </w:p>
    <w:p w14:paraId="7E464E55" w14:textId="77777777" w:rsidR="00A60E45" w:rsidRPr="00960E45" w:rsidRDefault="00A60E45" w:rsidP="000B75FB">
      <w:pPr>
        <w:rPr>
          <w:b/>
          <w:bCs/>
          <w:i/>
          <w:iCs/>
          <w:color w:val="000000" w:themeColor="text1"/>
        </w:rPr>
      </w:pPr>
    </w:p>
    <w:p w14:paraId="3038B33A" w14:textId="50DBD3E3" w:rsidR="000A3276" w:rsidRPr="00960E45" w:rsidRDefault="000A3276" w:rsidP="000B75FB">
      <w:pPr>
        <w:rPr>
          <w:b/>
          <w:bCs/>
          <w:i/>
          <w:iCs/>
          <w:color w:val="000000" w:themeColor="text1"/>
        </w:rPr>
      </w:pPr>
      <w:r w:rsidRPr="00960E45">
        <w:rPr>
          <w:b/>
          <w:bCs/>
          <w:i/>
          <w:iCs/>
          <w:color w:val="000000" w:themeColor="text1"/>
        </w:rPr>
        <w:t xml:space="preserve">New </w:t>
      </w:r>
      <w:r w:rsidR="007E4A02" w:rsidRPr="00960E45">
        <w:rPr>
          <w:b/>
          <w:bCs/>
          <w:i/>
          <w:iCs/>
          <w:color w:val="000000" w:themeColor="text1"/>
        </w:rPr>
        <w:t xml:space="preserve">or Renewed </w:t>
      </w:r>
      <w:r w:rsidRPr="00960E45">
        <w:rPr>
          <w:b/>
          <w:bCs/>
          <w:i/>
          <w:iCs/>
          <w:color w:val="000000" w:themeColor="text1"/>
        </w:rPr>
        <w:t>Initiatives</w:t>
      </w:r>
      <w:r w:rsidR="00583C48" w:rsidRPr="00960E45">
        <w:rPr>
          <w:b/>
          <w:bCs/>
          <w:i/>
          <w:iCs/>
          <w:color w:val="000000" w:themeColor="text1"/>
        </w:rPr>
        <w:t xml:space="preserve"> in Fall and Spring</w:t>
      </w:r>
      <w:r w:rsidR="0028293B">
        <w:rPr>
          <w:b/>
          <w:bCs/>
          <w:i/>
          <w:iCs/>
          <w:color w:val="000000" w:themeColor="text1"/>
        </w:rPr>
        <w:t xml:space="preserve"> (Note: In the spring, Steve Smith was Acting Director, as Andrea was on sabbatical.)</w:t>
      </w:r>
    </w:p>
    <w:p w14:paraId="287694FC" w14:textId="77777777" w:rsidR="004E2B38" w:rsidRPr="00960E45" w:rsidRDefault="004E2B38" w:rsidP="000B75FB">
      <w:pPr>
        <w:rPr>
          <w:color w:val="000000" w:themeColor="text1"/>
        </w:rPr>
      </w:pPr>
    </w:p>
    <w:p w14:paraId="79725B14" w14:textId="175C21AC" w:rsidR="005226D9" w:rsidRPr="00960E45" w:rsidRDefault="005226D9" w:rsidP="00960E4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960E45">
        <w:rPr>
          <w:b/>
          <w:bCs/>
          <w:color w:val="000000" w:themeColor="text1"/>
        </w:rPr>
        <w:t>Racial Justice Task Force:</w:t>
      </w:r>
      <w:r w:rsidR="00214A46" w:rsidRPr="00960E45">
        <w:rPr>
          <w:b/>
          <w:bCs/>
          <w:color w:val="000000" w:themeColor="text1"/>
        </w:rPr>
        <w:t xml:space="preserve"> </w:t>
      </w:r>
      <w:r w:rsidR="00960E45">
        <w:rPr>
          <w:color w:val="000000" w:themeColor="text1"/>
        </w:rPr>
        <w:t>In the fall, w</w:t>
      </w:r>
      <w:r w:rsidR="00736193" w:rsidRPr="00960E45">
        <w:rPr>
          <w:color w:val="000000" w:themeColor="text1"/>
        </w:rPr>
        <w:t xml:space="preserve">e met to brainstorm ideas, learn about another university’s antiracist initiatives (via a guest speaker, Dr. Emily Johnston), </w:t>
      </w:r>
      <w:r w:rsidR="00960E45" w:rsidRPr="00960E45">
        <w:rPr>
          <w:color w:val="000000" w:themeColor="text1"/>
        </w:rPr>
        <w:t xml:space="preserve">and </w:t>
      </w:r>
      <w:r w:rsidR="00736193" w:rsidRPr="00960E45">
        <w:rPr>
          <w:color w:val="000000" w:themeColor="text1"/>
        </w:rPr>
        <w:t>set goals</w:t>
      </w:r>
      <w:r w:rsidR="00960E45" w:rsidRPr="00960E45">
        <w:rPr>
          <w:color w:val="000000" w:themeColor="text1"/>
        </w:rPr>
        <w:t xml:space="preserve">. </w:t>
      </w:r>
      <w:r w:rsidR="00960E45">
        <w:rPr>
          <w:color w:val="000000" w:themeColor="text1"/>
        </w:rPr>
        <w:t xml:space="preserve">In the spring, we sponsored three workshops or panels related to antiracist initiatives (described below).  </w:t>
      </w:r>
      <w:r w:rsidR="00960E45" w:rsidRPr="00960E45">
        <w:rPr>
          <w:color w:val="000000" w:themeColor="text1"/>
        </w:rPr>
        <w:t xml:space="preserve">In addition, we used the remaining composition program budget to offer a small stipend to PTL Melissa Rothman to convene a panel of instructors to talk about antiracist pedagogies and develop a resource folder of materials (currently available on our website). Instructors who contributed entered a drawing to receive a </w:t>
      </w:r>
      <w:r w:rsidR="00960E45" w:rsidRPr="00960E45">
        <w:rPr>
          <w:color w:val="000000"/>
        </w:rPr>
        <w:t xml:space="preserve">free copy of </w:t>
      </w:r>
      <w:r w:rsidR="00960E45" w:rsidRPr="00960E45">
        <w:rPr>
          <w:i/>
          <w:iCs/>
          <w:color w:val="000000"/>
        </w:rPr>
        <w:t>The Antiracist Writing Workshop: How to Decolonize the Creative Classroom</w:t>
      </w:r>
      <w:r w:rsidR="00960E45" w:rsidRPr="00960E45">
        <w:rPr>
          <w:color w:val="000000"/>
        </w:rPr>
        <w:t xml:space="preserve">, by Patricia Rose Chavez. </w:t>
      </w:r>
    </w:p>
    <w:p w14:paraId="624A2C9B" w14:textId="77777777" w:rsidR="00960E45" w:rsidRPr="00960E45" w:rsidRDefault="00960E45" w:rsidP="00960E45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CE1CDB3" w14:textId="741FF5FE" w:rsidR="004E2B38" w:rsidRPr="00960E45" w:rsidRDefault="004E2B38" w:rsidP="004E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60E45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Cardinal Compositions</w:t>
      </w:r>
      <w:r w:rsidRPr="00960E45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We published </w:t>
      </w:r>
      <w:r w:rsidR="00E46FAE" w:rsidRPr="00960E45">
        <w:rPr>
          <w:rFonts w:ascii="Times New Roman" w:hAnsi="Times New Roman" w:cs="Times New Roman"/>
          <w:color w:val="000000" w:themeColor="text1"/>
        </w:rPr>
        <w:t>another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 volume of</w:t>
      </w:r>
      <w:r w:rsidR="000A3276" w:rsidRPr="00960E45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0A3276" w:rsidRPr="00960E45">
          <w:rPr>
            <w:rStyle w:val="Hyperlink"/>
            <w:rFonts w:ascii="Times New Roman" w:hAnsi="Times New Roman" w:cs="Times New Roman"/>
            <w:i/>
            <w:iCs/>
          </w:rPr>
          <w:t>Cardinal Compositions</w:t>
        </w:r>
      </w:hyperlink>
      <w:r w:rsidR="000A3276" w:rsidRPr="00960E45">
        <w:rPr>
          <w:rFonts w:ascii="Times New Roman" w:hAnsi="Times New Roman" w:cs="Times New Roman"/>
          <w:color w:val="000000" w:themeColor="text1"/>
        </w:rPr>
        <w:t xml:space="preserve"> as an open-access journal through </w:t>
      </w:r>
      <w:proofErr w:type="spellStart"/>
      <w:r w:rsidR="000A3276" w:rsidRPr="00960E45">
        <w:rPr>
          <w:rFonts w:ascii="Times New Roman" w:hAnsi="Times New Roman" w:cs="Times New Roman"/>
          <w:color w:val="000000" w:themeColor="text1"/>
        </w:rPr>
        <w:t>ThinkIR</w:t>
      </w:r>
      <w:proofErr w:type="spellEnd"/>
      <w:r w:rsidR="000A3276" w:rsidRPr="00960E45">
        <w:rPr>
          <w:rFonts w:ascii="Times New Roman" w:hAnsi="Times New Roman" w:cs="Times New Roman"/>
          <w:color w:val="000000" w:themeColor="text1"/>
        </w:rPr>
        <w:t xml:space="preserve">. </w:t>
      </w:r>
      <w:r w:rsidR="00CE68F3" w:rsidRPr="00960E45">
        <w:rPr>
          <w:rFonts w:ascii="Times New Roman" w:hAnsi="Times New Roman" w:cs="Times New Roman"/>
          <w:color w:val="000000" w:themeColor="text1"/>
        </w:rPr>
        <w:t>The English Department</w:t>
      </w:r>
      <w:r w:rsidR="000A3276" w:rsidRPr="00960E45">
        <w:rPr>
          <w:rFonts w:ascii="Times New Roman" w:hAnsi="Times New Roman" w:cs="Times New Roman"/>
          <w:color w:val="000000" w:themeColor="text1"/>
        </w:rPr>
        <w:t xml:space="preserve"> sponsored $150 stipends for editorial board members </w:t>
      </w:r>
      <w:r w:rsidR="00E46FAE" w:rsidRPr="00960E45">
        <w:rPr>
          <w:rFonts w:ascii="Times New Roman" w:hAnsi="Times New Roman" w:cs="Times New Roman"/>
          <w:color w:val="000000" w:themeColor="text1"/>
        </w:rPr>
        <w:t xml:space="preserve">Lana Helm, Taylor Riley, Charlotte </w:t>
      </w:r>
      <w:proofErr w:type="spellStart"/>
      <w:r w:rsidR="00E46FAE" w:rsidRPr="00960E45">
        <w:rPr>
          <w:rFonts w:ascii="Times New Roman" w:hAnsi="Times New Roman" w:cs="Times New Roman"/>
          <w:color w:val="000000" w:themeColor="text1"/>
        </w:rPr>
        <w:t>Asmuth</w:t>
      </w:r>
      <w:proofErr w:type="spellEnd"/>
      <w:r w:rsidR="00E46FAE" w:rsidRPr="00960E45">
        <w:rPr>
          <w:rFonts w:ascii="Times New Roman" w:hAnsi="Times New Roman" w:cs="Times New Roman"/>
          <w:color w:val="000000" w:themeColor="text1"/>
        </w:rPr>
        <w:t>, and Caitlin Burns</w:t>
      </w:r>
      <w:r w:rsidR="000A3276" w:rsidRPr="00960E45">
        <w:rPr>
          <w:rFonts w:ascii="Times New Roman" w:hAnsi="Times New Roman" w:cs="Times New Roman"/>
          <w:color w:val="000000" w:themeColor="text1"/>
        </w:rPr>
        <w:t xml:space="preserve"> to support 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editor Brittany Smart. </w:t>
      </w:r>
      <w:r w:rsidR="00E46FAE" w:rsidRPr="00960E45">
        <w:rPr>
          <w:rFonts w:ascii="Times New Roman" w:hAnsi="Times New Roman" w:cs="Times New Roman"/>
          <w:color w:val="000000" w:themeColor="text1"/>
        </w:rPr>
        <w:t>Ten</w:t>
      </w:r>
      <w:r w:rsidR="000A3276" w:rsidRPr="00960E45">
        <w:rPr>
          <w:rFonts w:ascii="Times New Roman" w:hAnsi="Times New Roman" w:cs="Times New Roman"/>
          <w:color w:val="000000" w:themeColor="text1"/>
        </w:rPr>
        <w:t xml:space="preserve"> student projects are published in this issue—</w:t>
      </w:r>
      <w:r w:rsidR="00E46FAE" w:rsidRPr="00960E45">
        <w:rPr>
          <w:rFonts w:ascii="Times New Roman" w:hAnsi="Times New Roman" w:cs="Times New Roman"/>
          <w:color w:val="000000" w:themeColor="text1"/>
        </w:rPr>
        <w:t xml:space="preserve">podcast, video, infographic, art, poetry, and </w:t>
      </w:r>
      <w:r w:rsidR="000A3276" w:rsidRPr="00960E45">
        <w:rPr>
          <w:rFonts w:ascii="Times New Roman" w:hAnsi="Times New Roman" w:cs="Times New Roman"/>
          <w:color w:val="000000" w:themeColor="text1"/>
        </w:rPr>
        <w:t xml:space="preserve">research papers—as well as the assignment sheets for those projects and teaching suggestions. The cover was also designed by a UofL student. </w:t>
      </w:r>
    </w:p>
    <w:p w14:paraId="3EDF9D0C" w14:textId="77777777" w:rsidR="004E2B38" w:rsidRPr="00960E45" w:rsidRDefault="004E2B38" w:rsidP="004E2B3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3B6D8DB" w14:textId="2B9E29BF" w:rsidR="004E2B38" w:rsidRPr="00960E45" w:rsidRDefault="004E2B38" w:rsidP="000B7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60E45">
        <w:rPr>
          <w:rFonts w:ascii="Times New Roman" w:hAnsi="Times New Roman" w:cs="Times New Roman"/>
          <w:b/>
          <w:bCs/>
          <w:color w:val="000000" w:themeColor="text1"/>
        </w:rPr>
        <w:t xml:space="preserve">Online Writing Instruction Mini-Course: 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We offered a second iteration of our </w:t>
      </w:r>
      <w:r w:rsidR="0029230D" w:rsidRPr="00960E45">
        <w:rPr>
          <w:rFonts w:ascii="Times New Roman" w:hAnsi="Times New Roman" w:cs="Times New Roman"/>
          <w:color w:val="000000" w:themeColor="text1"/>
        </w:rPr>
        <w:t>six-week asynchronous mini-course on online writing instruction</w:t>
      </w:r>
      <w:r w:rsidR="00AB5624" w:rsidRPr="00960E45">
        <w:rPr>
          <w:rFonts w:ascii="Times New Roman" w:hAnsi="Times New Roman" w:cs="Times New Roman"/>
          <w:color w:val="000000" w:themeColor="text1"/>
        </w:rPr>
        <w:t xml:space="preserve"> (OWI)</w:t>
      </w:r>
      <w:r w:rsidR="00736193" w:rsidRPr="00960E45">
        <w:rPr>
          <w:rFonts w:ascii="Times New Roman" w:hAnsi="Times New Roman" w:cs="Times New Roman"/>
          <w:color w:val="000000" w:themeColor="text1"/>
        </w:rPr>
        <w:t xml:space="preserve">, taught by ADC Walker Smith. </w:t>
      </w:r>
      <w:r w:rsidR="00FF3D9A">
        <w:rPr>
          <w:rFonts w:ascii="Times New Roman" w:hAnsi="Times New Roman" w:cs="Times New Roman"/>
          <w:color w:val="000000" w:themeColor="text1"/>
        </w:rPr>
        <w:t>Five</w:t>
      </w:r>
      <w:r w:rsidR="005535DF" w:rsidRPr="00960E45">
        <w:rPr>
          <w:rFonts w:ascii="Times New Roman" w:hAnsi="Times New Roman" w:cs="Times New Roman"/>
          <w:color w:val="000000" w:themeColor="text1"/>
        </w:rPr>
        <w:t xml:space="preserve"> instructors </w:t>
      </w:r>
      <w:r w:rsidR="005535DF" w:rsidRPr="00FF3D9A">
        <w:rPr>
          <w:rFonts w:ascii="Times New Roman" w:hAnsi="Times New Roman" w:cs="Times New Roman"/>
          <w:color w:val="000000" w:themeColor="text1"/>
        </w:rPr>
        <w:t>participated (2 PTLs</w:t>
      </w:r>
      <w:r w:rsidR="00FF3D9A" w:rsidRPr="00FF3D9A">
        <w:rPr>
          <w:rFonts w:ascii="Times New Roman" w:hAnsi="Times New Roman" w:cs="Times New Roman"/>
          <w:color w:val="000000" w:themeColor="text1"/>
        </w:rPr>
        <w:t>, 1 MA student, and 2</w:t>
      </w:r>
      <w:r w:rsidR="005535DF" w:rsidRPr="00FF3D9A">
        <w:rPr>
          <w:rFonts w:ascii="Times New Roman" w:hAnsi="Times New Roman" w:cs="Times New Roman"/>
          <w:color w:val="000000" w:themeColor="text1"/>
        </w:rPr>
        <w:t xml:space="preserve"> PhD students). </w:t>
      </w:r>
      <w:r w:rsidR="00AB5624" w:rsidRPr="00FF3D9A">
        <w:rPr>
          <w:rFonts w:ascii="Times New Roman" w:hAnsi="Times New Roman" w:cs="Times New Roman"/>
          <w:color w:val="000000" w:themeColor="text1"/>
        </w:rPr>
        <w:t>The mini-course covered OWI-specific information and activities (e.g., facilitating online</w:t>
      </w:r>
      <w:r w:rsidR="00AB5624" w:rsidRPr="00960E45">
        <w:rPr>
          <w:rFonts w:ascii="Times New Roman" w:hAnsi="Times New Roman" w:cs="Times New Roman"/>
          <w:color w:val="000000" w:themeColor="text1"/>
        </w:rPr>
        <w:t xml:space="preserve"> discussions, responding to student writing, scaffolding writing assignments)</w:t>
      </w:r>
      <w:r w:rsidR="00AF0780" w:rsidRPr="00960E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F0780" w:rsidRPr="00960E45">
        <w:rPr>
          <w:rFonts w:ascii="Times New Roman" w:hAnsi="Times New Roman" w:cs="Times New Roman"/>
          <w:color w:val="000000" w:themeColor="text1"/>
        </w:rPr>
        <w:t>and also</w:t>
      </w:r>
      <w:proofErr w:type="gramEnd"/>
      <w:r w:rsidR="00AF0780" w:rsidRPr="00960E45">
        <w:rPr>
          <w:rFonts w:ascii="Times New Roman" w:hAnsi="Times New Roman" w:cs="Times New Roman"/>
          <w:color w:val="000000" w:themeColor="text1"/>
        </w:rPr>
        <w:t xml:space="preserve"> adapted material from Delphi U (Blackboard Basics; Accessibility)</w:t>
      </w:r>
      <w:r w:rsidR="00AB5624" w:rsidRPr="00960E45">
        <w:rPr>
          <w:rFonts w:ascii="Times New Roman" w:hAnsi="Times New Roman" w:cs="Times New Roman"/>
          <w:color w:val="000000" w:themeColor="text1"/>
        </w:rPr>
        <w:t xml:space="preserve">. </w:t>
      </w:r>
      <w:r w:rsidRPr="00960E45">
        <w:rPr>
          <w:rFonts w:ascii="Times New Roman" w:hAnsi="Times New Roman" w:cs="Times New Roman"/>
          <w:color w:val="000000" w:themeColor="text1"/>
        </w:rPr>
        <w:t>Participants received a certificate upon completion</w:t>
      </w:r>
      <w:r w:rsidR="001069EA" w:rsidRPr="00960E45">
        <w:rPr>
          <w:rFonts w:ascii="Times New Roman" w:hAnsi="Times New Roman" w:cs="Times New Roman"/>
          <w:color w:val="000000" w:themeColor="text1"/>
        </w:rPr>
        <w:t>.</w:t>
      </w:r>
    </w:p>
    <w:p w14:paraId="57EC4D4C" w14:textId="77777777" w:rsidR="007E4A02" w:rsidRPr="00960E45" w:rsidRDefault="007E4A02" w:rsidP="005226D9">
      <w:pPr>
        <w:rPr>
          <w:b/>
          <w:bCs/>
          <w:color w:val="000000" w:themeColor="text1"/>
        </w:rPr>
      </w:pPr>
    </w:p>
    <w:p w14:paraId="5FEA99A8" w14:textId="30B6DDD2" w:rsidR="00781C9F" w:rsidRPr="00960E45" w:rsidRDefault="004E2B38" w:rsidP="00626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960E45">
        <w:rPr>
          <w:rFonts w:ascii="Times New Roman" w:hAnsi="Times New Roman" w:cs="Times New Roman"/>
          <w:b/>
          <w:bCs/>
          <w:color w:val="000000" w:themeColor="text1"/>
        </w:rPr>
        <w:t>Community-Building: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 We did not have a </w:t>
      </w:r>
      <w:r w:rsidRPr="00960E45">
        <w:rPr>
          <w:rFonts w:ascii="Times New Roman" w:hAnsi="Times New Roman" w:cs="Times New Roman"/>
          <w:color w:val="000000" w:themeColor="text1"/>
        </w:rPr>
        <w:t>fall kickoff s’mores party</w:t>
      </w:r>
      <w:r w:rsidR="00CE68F3" w:rsidRPr="00960E45">
        <w:rPr>
          <w:rFonts w:ascii="Times New Roman" w:hAnsi="Times New Roman" w:cs="Times New Roman"/>
          <w:color w:val="000000" w:themeColor="text1"/>
        </w:rPr>
        <w:t xml:space="preserve"> due to COVID, but we moved our holiday party online, complete with white elephant gift exchange, pet photo competition, and “Cardinal </w:t>
      </w:r>
      <w:proofErr w:type="spellStart"/>
      <w:r w:rsidR="00CE68F3" w:rsidRPr="00960E45">
        <w:rPr>
          <w:rFonts w:ascii="Times New Roman" w:hAnsi="Times New Roman" w:cs="Times New Roman"/>
          <w:color w:val="000000" w:themeColor="text1"/>
        </w:rPr>
        <w:t>Comptail</w:t>
      </w:r>
      <w:proofErr w:type="spellEnd"/>
      <w:r w:rsidR="00CE68F3" w:rsidRPr="00960E45">
        <w:rPr>
          <w:rFonts w:ascii="Times New Roman" w:hAnsi="Times New Roman" w:cs="Times New Roman"/>
          <w:color w:val="000000" w:themeColor="text1"/>
        </w:rPr>
        <w:t xml:space="preserve">” mocktail goodie bags that we delivered to instructors’ houses. </w:t>
      </w:r>
      <w:r w:rsidRPr="00960E45">
        <w:rPr>
          <w:rFonts w:ascii="Times New Roman" w:hAnsi="Times New Roman" w:cs="Times New Roman"/>
          <w:color w:val="000000" w:themeColor="text1"/>
        </w:rPr>
        <w:t>In weekly Comp News emails, I publicize</w:t>
      </w:r>
      <w:r w:rsidR="001069EA" w:rsidRPr="00960E45">
        <w:rPr>
          <w:rFonts w:ascii="Times New Roman" w:hAnsi="Times New Roman" w:cs="Times New Roman"/>
          <w:color w:val="000000" w:themeColor="text1"/>
        </w:rPr>
        <w:t>d</w:t>
      </w:r>
      <w:r w:rsidRPr="00960E45">
        <w:rPr>
          <w:rFonts w:ascii="Times New Roman" w:hAnsi="Times New Roman" w:cs="Times New Roman"/>
          <w:color w:val="000000" w:themeColor="text1"/>
        </w:rPr>
        <w:t xml:space="preserve"> </w:t>
      </w:r>
      <w:r w:rsidR="000C305C" w:rsidRPr="00960E45">
        <w:rPr>
          <w:rFonts w:ascii="Times New Roman" w:hAnsi="Times New Roman" w:cs="Times New Roman"/>
          <w:color w:val="000000" w:themeColor="text1"/>
        </w:rPr>
        <w:t xml:space="preserve">instructors’ </w:t>
      </w:r>
      <w:r w:rsidRPr="00960E45">
        <w:rPr>
          <w:rFonts w:ascii="Times New Roman" w:hAnsi="Times New Roman" w:cs="Times New Roman"/>
          <w:color w:val="000000" w:themeColor="text1"/>
        </w:rPr>
        <w:t xml:space="preserve">professional </w:t>
      </w:r>
      <w:r w:rsidR="000C305C" w:rsidRPr="00960E45">
        <w:rPr>
          <w:rFonts w:ascii="Times New Roman" w:hAnsi="Times New Roman" w:cs="Times New Roman"/>
          <w:color w:val="000000" w:themeColor="text1"/>
        </w:rPr>
        <w:t>accomplishments (</w:t>
      </w:r>
      <w:r w:rsidRPr="00960E45">
        <w:rPr>
          <w:rFonts w:ascii="Times New Roman" w:hAnsi="Times New Roman" w:cs="Times New Roman"/>
          <w:color w:val="000000" w:themeColor="text1"/>
        </w:rPr>
        <w:t>and, with permission, personal</w:t>
      </w:r>
      <w:r w:rsidR="000C305C" w:rsidRPr="00960E45">
        <w:rPr>
          <w:rFonts w:ascii="Times New Roman" w:hAnsi="Times New Roman" w:cs="Times New Roman"/>
          <w:color w:val="000000" w:themeColor="text1"/>
        </w:rPr>
        <w:t xml:space="preserve"> milestones)</w:t>
      </w:r>
      <w:r w:rsidRPr="00960E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6882C6" w14:textId="77777777" w:rsidR="00CE68F3" w:rsidRPr="00960E45" w:rsidRDefault="00CE68F3" w:rsidP="00CE68F3">
      <w:pPr>
        <w:rPr>
          <w:b/>
          <w:bCs/>
          <w:color w:val="000000" w:themeColor="text1"/>
        </w:rPr>
      </w:pPr>
    </w:p>
    <w:p w14:paraId="7A5D7372" w14:textId="70F36A6E" w:rsidR="004E2B38" w:rsidRPr="00FF3D9A" w:rsidRDefault="00483047" w:rsidP="00CF5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60E45">
        <w:rPr>
          <w:rFonts w:ascii="Times New Roman" w:hAnsi="Times New Roman" w:cs="Times New Roman"/>
          <w:b/>
          <w:bCs/>
          <w:color w:val="000000" w:themeColor="text1"/>
        </w:rPr>
        <w:t>PTL Promotion</w:t>
      </w:r>
      <w:r w:rsidRPr="00960E45">
        <w:rPr>
          <w:rFonts w:ascii="Times New Roman" w:hAnsi="Times New Roman" w:cs="Times New Roman"/>
          <w:color w:val="000000" w:themeColor="text1"/>
        </w:rPr>
        <w:t xml:space="preserve">: </w:t>
      </w:r>
      <w:r w:rsidR="00214A46" w:rsidRPr="00960E45">
        <w:rPr>
          <w:rFonts w:ascii="Times New Roman" w:hAnsi="Times New Roman" w:cs="Times New Roman"/>
          <w:color w:val="000000" w:themeColor="text1"/>
        </w:rPr>
        <w:t>Tim Roberts</w:t>
      </w:r>
      <w:r w:rsidRPr="00960E45">
        <w:rPr>
          <w:rFonts w:ascii="Times New Roman" w:hAnsi="Times New Roman" w:cs="Times New Roman"/>
          <w:color w:val="000000" w:themeColor="text1"/>
        </w:rPr>
        <w:t xml:space="preserve"> </w:t>
      </w:r>
      <w:r w:rsidR="00214A46" w:rsidRPr="00960E45">
        <w:rPr>
          <w:rFonts w:ascii="Times New Roman" w:hAnsi="Times New Roman" w:cs="Times New Roman"/>
          <w:color w:val="000000" w:themeColor="text1"/>
        </w:rPr>
        <w:t xml:space="preserve">was promoted to Senior Lecturer I. </w:t>
      </w:r>
    </w:p>
    <w:p w14:paraId="4EA2CDAA" w14:textId="77777777" w:rsidR="00FF3D9A" w:rsidRPr="00FF3D9A" w:rsidRDefault="00FF3D9A" w:rsidP="00FF3D9A">
      <w:pPr>
        <w:pStyle w:val="ListParagrap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546F7F2" w14:textId="74174444" w:rsidR="00FF3D9A" w:rsidRPr="00FF3D9A" w:rsidRDefault="00FF3D9A" w:rsidP="00CF5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F3D9A">
        <w:rPr>
          <w:rFonts w:ascii="Times New Roman" w:hAnsi="Times New Roman" w:cs="Times New Roman"/>
          <w:b/>
          <w:bCs/>
          <w:color w:val="000000" w:themeColor="text1"/>
        </w:rPr>
        <w:t>Awards</w:t>
      </w:r>
      <w:r>
        <w:rPr>
          <w:rFonts w:ascii="Times New Roman" w:hAnsi="Times New Roman" w:cs="Times New Roman"/>
          <w:color w:val="000000" w:themeColor="text1"/>
        </w:rPr>
        <w:t xml:space="preserve">: The Composition Committee awarded </w:t>
      </w:r>
      <w:r w:rsidR="002E2BC1">
        <w:rPr>
          <w:rFonts w:ascii="Times New Roman" w:hAnsi="Times New Roman" w:cs="Times New Roman"/>
          <w:color w:val="000000" w:themeColor="text1"/>
        </w:rPr>
        <w:t>two</w:t>
      </w:r>
      <w:r w:rsidR="002829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93B">
        <w:rPr>
          <w:rFonts w:ascii="Times New Roman" w:hAnsi="Times New Roman" w:cs="Times New Roman"/>
          <w:color w:val="000000" w:themeColor="text1"/>
        </w:rPr>
        <w:t>Plattus</w:t>
      </w:r>
      <w:proofErr w:type="spellEnd"/>
      <w:r w:rsidR="0028293B">
        <w:rPr>
          <w:rFonts w:ascii="Times New Roman" w:hAnsi="Times New Roman" w:cs="Times New Roman"/>
          <w:color w:val="000000" w:themeColor="text1"/>
        </w:rPr>
        <w:t xml:space="preserve"> award (</w:t>
      </w:r>
      <w:r w:rsidR="002E2BC1">
        <w:rPr>
          <w:rFonts w:ascii="Times New Roman" w:hAnsi="Times New Roman" w:cs="Times New Roman"/>
          <w:color w:val="000000" w:themeColor="text1"/>
        </w:rPr>
        <w:t xml:space="preserve">PhD student </w:t>
      </w:r>
      <w:r w:rsidR="0028293B">
        <w:rPr>
          <w:rFonts w:ascii="Times New Roman" w:hAnsi="Times New Roman" w:cs="Times New Roman"/>
          <w:color w:val="000000" w:themeColor="text1"/>
        </w:rPr>
        <w:t>Brittany Smart</w:t>
      </w:r>
      <w:r w:rsidR="002E2BC1">
        <w:rPr>
          <w:rFonts w:ascii="Times New Roman" w:hAnsi="Times New Roman" w:cs="Times New Roman"/>
          <w:color w:val="000000" w:themeColor="text1"/>
        </w:rPr>
        <w:t xml:space="preserve"> and MA student Haley Salo</w:t>
      </w:r>
      <w:r w:rsidR="0028293B">
        <w:rPr>
          <w:rFonts w:ascii="Times New Roman" w:hAnsi="Times New Roman" w:cs="Times New Roman"/>
          <w:color w:val="000000" w:themeColor="text1"/>
        </w:rPr>
        <w:t>) and one PTL award (Lana Helm).</w:t>
      </w:r>
    </w:p>
    <w:p w14:paraId="07809158" w14:textId="77777777" w:rsidR="00214A46" w:rsidRPr="00960E45" w:rsidRDefault="00214A46" w:rsidP="00214A46">
      <w:pPr>
        <w:rPr>
          <w:b/>
          <w:bCs/>
          <w:i/>
          <w:iCs/>
          <w:color w:val="000000" w:themeColor="text1"/>
        </w:rPr>
      </w:pPr>
    </w:p>
    <w:p w14:paraId="0585DD41" w14:textId="4C708CCD" w:rsidR="00124AA3" w:rsidRPr="00960E45" w:rsidRDefault="00124AA3" w:rsidP="000B75FB">
      <w:pPr>
        <w:rPr>
          <w:b/>
          <w:bCs/>
          <w:i/>
          <w:iCs/>
          <w:color w:val="000000" w:themeColor="text1"/>
        </w:rPr>
      </w:pPr>
      <w:r w:rsidRPr="00960E45">
        <w:rPr>
          <w:b/>
          <w:bCs/>
          <w:i/>
          <w:iCs/>
          <w:color w:val="000000" w:themeColor="text1"/>
        </w:rPr>
        <w:t>Events and Professional Development</w:t>
      </w:r>
      <w:r w:rsidR="00583C48" w:rsidRPr="00960E45">
        <w:rPr>
          <w:b/>
          <w:bCs/>
          <w:i/>
          <w:iCs/>
          <w:color w:val="000000" w:themeColor="text1"/>
        </w:rPr>
        <w:t xml:space="preserve"> in Fall and Spring</w:t>
      </w:r>
    </w:p>
    <w:p w14:paraId="24B6AABC" w14:textId="6C5271C5" w:rsidR="00A60E45" w:rsidRPr="00960E45" w:rsidRDefault="00C97284" w:rsidP="000B75FB">
      <w:pPr>
        <w:rPr>
          <w:color w:val="000000" w:themeColor="text1"/>
        </w:rPr>
      </w:pPr>
      <w:r w:rsidRPr="00960E45">
        <w:rPr>
          <w:color w:val="000000" w:themeColor="text1"/>
        </w:rPr>
        <w:t xml:space="preserve">In August </w:t>
      </w:r>
      <w:r w:rsidR="00CE68F3" w:rsidRPr="00960E45">
        <w:rPr>
          <w:color w:val="000000" w:themeColor="text1"/>
        </w:rPr>
        <w:t>2020</w:t>
      </w:r>
      <w:r w:rsidRPr="00960E45">
        <w:rPr>
          <w:color w:val="000000" w:themeColor="text1"/>
        </w:rPr>
        <w:t>, w</w:t>
      </w:r>
      <w:r w:rsidR="00A60E45" w:rsidRPr="00960E45">
        <w:rPr>
          <w:color w:val="000000" w:themeColor="text1"/>
        </w:rPr>
        <w:t xml:space="preserve">e </w:t>
      </w:r>
      <w:r w:rsidR="00CE68F3" w:rsidRPr="00960E45">
        <w:rPr>
          <w:color w:val="000000" w:themeColor="text1"/>
        </w:rPr>
        <w:t>expanded our new GTA orientation from two days to two weeks (meeting online every other day)</w:t>
      </w:r>
      <w:r w:rsidR="00FF3D9A">
        <w:rPr>
          <w:color w:val="000000" w:themeColor="text1"/>
        </w:rPr>
        <w:t>.</w:t>
      </w:r>
      <w:r w:rsidR="00CE68F3" w:rsidRPr="00960E45">
        <w:rPr>
          <w:color w:val="000000" w:themeColor="text1"/>
        </w:rPr>
        <w:t xml:space="preserve"> We also held </w:t>
      </w:r>
      <w:r w:rsidR="00A60E45" w:rsidRPr="00960E45">
        <w:rPr>
          <w:color w:val="000000" w:themeColor="text1"/>
        </w:rPr>
        <w:t>our regular day-long orientation for all composition instructors the Friday before classes began</w:t>
      </w:r>
      <w:r w:rsidR="00FF3D9A">
        <w:rPr>
          <w:color w:val="000000" w:themeColor="text1"/>
        </w:rPr>
        <w:t>; this was done over Blackboard Collaborate</w:t>
      </w:r>
      <w:r w:rsidR="00A60E45" w:rsidRPr="00960E45">
        <w:rPr>
          <w:color w:val="000000" w:themeColor="text1"/>
        </w:rPr>
        <w:t xml:space="preserve">. </w:t>
      </w:r>
    </w:p>
    <w:p w14:paraId="128052C6" w14:textId="77777777" w:rsidR="00A60E45" w:rsidRPr="00960E45" w:rsidRDefault="00A60E45" w:rsidP="000B75FB">
      <w:pPr>
        <w:rPr>
          <w:color w:val="000000" w:themeColor="text1"/>
        </w:rPr>
      </w:pPr>
    </w:p>
    <w:p w14:paraId="42E84F11" w14:textId="48240520" w:rsidR="00082D5B" w:rsidRPr="00960E45" w:rsidRDefault="00653DEA" w:rsidP="000B75FB">
      <w:pPr>
        <w:rPr>
          <w:color w:val="000000" w:themeColor="text1"/>
        </w:rPr>
      </w:pPr>
      <w:r w:rsidRPr="00960E45">
        <w:rPr>
          <w:color w:val="000000" w:themeColor="text1"/>
        </w:rPr>
        <w:t xml:space="preserve">We </w:t>
      </w:r>
      <w:r w:rsidR="00A60E45" w:rsidRPr="00960E45">
        <w:rPr>
          <w:color w:val="000000" w:themeColor="text1"/>
        </w:rPr>
        <w:t xml:space="preserve">also </w:t>
      </w:r>
      <w:r w:rsidRPr="00960E45">
        <w:rPr>
          <w:color w:val="000000" w:themeColor="text1"/>
        </w:rPr>
        <w:t xml:space="preserve">hosted </w:t>
      </w:r>
      <w:r w:rsidR="00FF3D9A">
        <w:rPr>
          <w:color w:val="000000" w:themeColor="text1"/>
        </w:rPr>
        <w:t>six</w:t>
      </w:r>
      <w:r w:rsidR="000A3276" w:rsidRPr="00960E45">
        <w:rPr>
          <w:color w:val="000000" w:themeColor="text1"/>
        </w:rPr>
        <w:t xml:space="preserve"> workshops or other events.</w:t>
      </w:r>
    </w:p>
    <w:p w14:paraId="64D68CFE" w14:textId="4B0FB720" w:rsidR="00F125BC" w:rsidRPr="00960E45" w:rsidRDefault="00F125BC" w:rsidP="00F1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60E45">
        <w:rPr>
          <w:rFonts w:ascii="Times New Roman" w:hAnsi="Times New Roman" w:cs="Times New Roman"/>
          <w:color w:val="000000" w:themeColor="text1"/>
        </w:rPr>
        <w:t xml:space="preserve">Fall </w:t>
      </w:r>
      <w:r w:rsidR="00CE68F3" w:rsidRPr="00960E45">
        <w:rPr>
          <w:rFonts w:ascii="Times New Roman" w:hAnsi="Times New Roman" w:cs="Times New Roman"/>
          <w:color w:val="000000" w:themeColor="text1"/>
        </w:rPr>
        <w:t>2020</w:t>
      </w:r>
    </w:p>
    <w:p w14:paraId="78A31A15" w14:textId="77777777" w:rsidR="00CE68F3" w:rsidRPr="00960E45" w:rsidRDefault="00CE68F3" w:rsidP="00CE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960E45">
        <w:rPr>
          <w:rFonts w:ascii="Times New Roman" w:hAnsi="Times New Roman" w:cs="Times New Roman"/>
          <w:color w:val="000000"/>
        </w:rPr>
        <w:t>Racial Justice Task Force Kickoff Meeting</w:t>
      </w:r>
    </w:p>
    <w:p w14:paraId="123AAFE9" w14:textId="77777777" w:rsidR="00CE68F3" w:rsidRPr="00960E45" w:rsidRDefault="00CE68F3" w:rsidP="00CE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960E45">
        <w:rPr>
          <w:rFonts w:ascii="Times New Roman" w:hAnsi="Times New Roman" w:cs="Times New Roman"/>
          <w:color w:val="000000"/>
        </w:rPr>
        <w:t>Fighting Fake News: How to Center Information Literacy in the Composition Classroom (Brittany Smart)</w:t>
      </w:r>
    </w:p>
    <w:p w14:paraId="2B5775AB" w14:textId="21AD144D" w:rsidR="00CE68F3" w:rsidRPr="00960E45" w:rsidRDefault="00CE68F3" w:rsidP="00CE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960E45">
        <w:rPr>
          <w:rFonts w:ascii="Times New Roman" w:hAnsi="Times New Roman" w:cs="Times New Roman"/>
          <w:color w:val="000000"/>
        </w:rPr>
        <w:t>Ignite Innovative Composing: Building Multimodal Assignments with Adobe Spark (Lauren Fusilier)</w:t>
      </w:r>
    </w:p>
    <w:p w14:paraId="708FE450" w14:textId="1C029D41" w:rsidR="005A0A74" w:rsidRPr="00960E45" w:rsidRDefault="002C2291" w:rsidP="005A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60E45">
        <w:rPr>
          <w:rFonts w:ascii="Times New Roman" w:hAnsi="Times New Roman" w:cs="Times New Roman"/>
          <w:color w:val="000000" w:themeColor="text1"/>
        </w:rPr>
        <w:t>Spring</w:t>
      </w:r>
      <w:r w:rsidR="005A0A74" w:rsidRPr="00960E45">
        <w:rPr>
          <w:rFonts w:ascii="Times New Roman" w:hAnsi="Times New Roman" w:cs="Times New Roman"/>
          <w:color w:val="000000" w:themeColor="text1"/>
        </w:rPr>
        <w:t xml:space="preserve"> </w:t>
      </w:r>
      <w:r w:rsidR="00CE68F3" w:rsidRPr="00960E45">
        <w:rPr>
          <w:rFonts w:ascii="Times New Roman" w:hAnsi="Times New Roman" w:cs="Times New Roman"/>
          <w:color w:val="000000" w:themeColor="text1"/>
        </w:rPr>
        <w:t>2021</w:t>
      </w:r>
    </w:p>
    <w:p w14:paraId="142878F4" w14:textId="68AB5CF8" w:rsidR="00CE68F3" w:rsidRPr="00960E45" w:rsidRDefault="00CE68F3" w:rsidP="005A0A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Composition Courses for Parish and Porter Scholars and Black Male Initiative Students (Panel with Brandyn Bailey, Dr. </w:t>
      </w:r>
      <w:proofErr w:type="spellStart"/>
      <w:r w:rsidRPr="00960E45">
        <w:rPr>
          <w:rFonts w:ascii="Times New Roman" w:eastAsia="Times New Roman" w:hAnsi="Times New Roman" w:cs="Times New Roman"/>
          <w:color w:val="000000" w:themeColor="text1"/>
        </w:rPr>
        <w:t>Khirsten</w:t>
      </w:r>
      <w:proofErr w:type="spellEnd"/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226D9" w:rsidRPr="00960E45">
        <w:rPr>
          <w:rFonts w:ascii="Times New Roman" w:eastAsia="Times New Roman" w:hAnsi="Times New Roman" w:cs="Times New Roman"/>
          <w:color w:val="000000" w:themeColor="text1"/>
        </w:rPr>
        <w:t>Scott</w:t>
      </w:r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, Joan </w:t>
      </w:r>
      <w:proofErr w:type="spellStart"/>
      <w:r w:rsidRPr="00960E45">
        <w:rPr>
          <w:rFonts w:ascii="Times New Roman" w:eastAsia="Times New Roman" w:hAnsi="Times New Roman" w:cs="Times New Roman"/>
          <w:color w:val="000000" w:themeColor="text1"/>
        </w:rPr>
        <w:t>D’Antonio</w:t>
      </w:r>
      <w:proofErr w:type="spellEnd"/>
      <w:r w:rsidRPr="00960E45">
        <w:rPr>
          <w:rFonts w:ascii="Times New Roman" w:eastAsia="Times New Roman" w:hAnsi="Times New Roman" w:cs="Times New Roman"/>
          <w:color w:val="000000" w:themeColor="text1"/>
        </w:rPr>
        <w:t>, and Anna-Stacia Haley)</w:t>
      </w:r>
    </w:p>
    <w:p w14:paraId="2DF2E128" w14:textId="77777777" w:rsidR="00CE68F3" w:rsidRPr="00960E45" w:rsidRDefault="00CE68F3" w:rsidP="005A0A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Making Sense of Language Difference and Error in Student Writing (with Bruce Horner and Charlotte </w:t>
      </w:r>
      <w:proofErr w:type="spellStart"/>
      <w:r w:rsidRPr="00960E45">
        <w:rPr>
          <w:rFonts w:ascii="Times New Roman" w:eastAsia="Times New Roman" w:hAnsi="Times New Roman" w:cs="Times New Roman"/>
          <w:color w:val="000000" w:themeColor="text1"/>
        </w:rPr>
        <w:t>Asmuth</w:t>
      </w:r>
      <w:proofErr w:type="spellEnd"/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; cosponsored by the DEI Committee) </w:t>
      </w:r>
    </w:p>
    <w:p w14:paraId="0EE935E8" w14:textId="16299F53" w:rsidR="00CE68F3" w:rsidRPr="00960E45" w:rsidRDefault="00CE68F3" w:rsidP="00CE68F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960E45">
        <w:rPr>
          <w:rFonts w:ascii="Times New Roman" w:eastAsia="Times New Roman" w:hAnsi="Times New Roman" w:cs="Times New Roman"/>
          <w:color w:val="000000" w:themeColor="text1"/>
        </w:rPr>
        <w:t>Racial Justice Teaching Materials Archive</w:t>
      </w:r>
      <w:r w:rsidR="00AD4FD9" w:rsidRPr="00960E45">
        <w:rPr>
          <w:rFonts w:ascii="Times New Roman" w:eastAsia="Times New Roman" w:hAnsi="Times New Roman" w:cs="Times New Roman"/>
          <w:color w:val="000000" w:themeColor="text1"/>
        </w:rPr>
        <w:t xml:space="preserve"> Panel</w:t>
      </w:r>
      <w:r w:rsidRPr="00960E45">
        <w:rPr>
          <w:rFonts w:ascii="Times New Roman" w:eastAsia="Times New Roman" w:hAnsi="Times New Roman" w:cs="Times New Roman"/>
          <w:color w:val="000000" w:themeColor="text1"/>
        </w:rPr>
        <w:t xml:space="preserve"> (facilitated by Melissa Rothman)</w:t>
      </w:r>
    </w:p>
    <w:p w14:paraId="7B7680DF" w14:textId="77777777" w:rsidR="00CE68F3" w:rsidRPr="00960E45" w:rsidRDefault="00CE68F3" w:rsidP="00CE68F3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08800C0F" w14:textId="6C36B9D5" w:rsidR="00653DEA" w:rsidRPr="00960E45" w:rsidRDefault="00CE68F3" w:rsidP="00653DEA">
      <w:pPr>
        <w:rPr>
          <w:color w:val="000000" w:themeColor="text1"/>
        </w:rPr>
      </w:pPr>
      <w:r w:rsidRPr="00960E45">
        <w:rPr>
          <w:color w:val="000000" w:themeColor="text1"/>
        </w:rPr>
        <w:t xml:space="preserve">Due to COVID, we did not host the Celebration of Student Writing this year. </w:t>
      </w:r>
    </w:p>
    <w:p w14:paraId="5A81F4DB" w14:textId="77777777" w:rsidR="005226D9" w:rsidRPr="00960E45" w:rsidRDefault="005226D9" w:rsidP="005226D9">
      <w:pPr>
        <w:rPr>
          <w:color w:val="000000" w:themeColor="text1"/>
        </w:rPr>
      </w:pPr>
    </w:p>
    <w:p w14:paraId="59E34877" w14:textId="553B2EDF" w:rsidR="005226D9" w:rsidRPr="00960E45" w:rsidRDefault="005226D9" w:rsidP="005226D9">
      <w:pPr>
        <w:rPr>
          <w:b/>
          <w:bCs/>
          <w:color w:val="000000" w:themeColor="text1"/>
        </w:rPr>
      </w:pPr>
      <w:r w:rsidRPr="00960E45">
        <w:rPr>
          <w:color w:val="000000" w:themeColor="text1"/>
        </w:rPr>
        <w:t xml:space="preserve">We continued a partnership begun by Dr. </w:t>
      </w:r>
      <w:proofErr w:type="spellStart"/>
      <w:r w:rsidRPr="00960E45">
        <w:rPr>
          <w:color w:val="000000" w:themeColor="text1"/>
        </w:rPr>
        <w:t>Khirsten</w:t>
      </w:r>
      <w:proofErr w:type="spellEnd"/>
      <w:r w:rsidRPr="00960E45">
        <w:rPr>
          <w:color w:val="000000" w:themeColor="text1"/>
        </w:rPr>
        <w:t xml:space="preserve"> Echols (PhD ’18) to connect 1-2 composition courses to the students in the Porter Scholars and Black Male Initiative Living-Learning communities. Joan D’Antoni taught sections of 101 and 102 in the fall and spring.</w:t>
      </w:r>
    </w:p>
    <w:p w14:paraId="314EC772" w14:textId="364623A0" w:rsidR="000E1438" w:rsidRPr="00960E45" w:rsidRDefault="000E1438" w:rsidP="00653DEA">
      <w:pPr>
        <w:rPr>
          <w:color w:val="000000" w:themeColor="text1"/>
        </w:rPr>
      </w:pPr>
    </w:p>
    <w:p w14:paraId="048BACF1" w14:textId="2062E035" w:rsidR="00A60E45" w:rsidRPr="00960E45" w:rsidRDefault="00A60E45" w:rsidP="00653DEA">
      <w:pPr>
        <w:rPr>
          <w:color w:val="000000" w:themeColor="text1"/>
        </w:rPr>
      </w:pPr>
      <w:r w:rsidRPr="00960E45">
        <w:rPr>
          <w:color w:val="000000" w:themeColor="text1"/>
        </w:rPr>
        <w:t>As usual, we continued our professional development observations of GTAs and of PTLs in the first three years of teaching at UofL.</w:t>
      </w:r>
    </w:p>
    <w:p w14:paraId="3DBED711" w14:textId="5D4D789F" w:rsidR="008952D4" w:rsidRPr="00960E45" w:rsidRDefault="008952D4" w:rsidP="00653DEA">
      <w:pPr>
        <w:rPr>
          <w:color w:val="000000" w:themeColor="text1"/>
        </w:rPr>
      </w:pPr>
    </w:p>
    <w:p w14:paraId="65DA50FE" w14:textId="5EEB31E1" w:rsidR="00583C48" w:rsidRPr="00960E45" w:rsidRDefault="00583C48" w:rsidP="00653DEA">
      <w:pPr>
        <w:rPr>
          <w:b/>
          <w:bCs/>
          <w:i/>
          <w:iCs/>
          <w:color w:val="000000" w:themeColor="text1"/>
        </w:rPr>
      </w:pPr>
      <w:r w:rsidRPr="00960E45">
        <w:rPr>
          <w:b/>
          <w:bCs/>
          <w:i/>
          <w:iCs/>
          <w:color w:val="000000" w:themeColor="text1"/>
        </w:rPr>
        <w:t>Summer 202</w:t>
      </w:r>
      <w:r w:rsidR="00CE68F3" w:rsidRPr="00960E45">
        <w:rPr>
          <w:b/>
          <w:bCs/>
          <w:i/>
          <w:iCs/>
          <w:color w:val="000000" w:themeColor="text1"/>
        </w:rPr>
        <w:t>1</w:t>
      </w:r>
      <w:r w:rsidRPr="00960E45">
        <w:rPr>
          <w:b/>
          <w:bCs/>
          <w:i/>
          <w:iCs/>
          <w:color w:val="000000" w:themeColor="text1"/>
        </w:rPr>
        <w:t xml:space="preserve"> Work</w:t>
      </w:r>
    </w:p>
    <w:p w14:paraId="377EF814" w14:textId="0C6F47C2" w:rsidR="00583C48" w:rsidRPr="00FF3D9A" w:rsidRDefault="00583C48" w:rsidP="006C02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960E45">
        <w:rPr>
          <w:rFonts w:ascii="Times New Roman" w:hAnsi="Times New Roman" w:cs="Times New Roman"/>
          <w:b/>
          <w:bCs/>
          <w:color w:val="000000" w:themeColor="text1"/>
        </w:rPr>
        <w:t>Curriculum Development</w:t>
      </w:r>
      <w:r w:rsidRPr="00960E45">
        <w:rPr>
          <w:rFonts w:ascii="Times New Roman" w:hAnsi="Times New Roman" w:cs="Times New Roman"/>
          <w:color w:val="000000" w:themeColor="text1"/>
        </w:rPr>
        <w:t xml:space="preserve">: </w:t>
      </w:r>
      <w:r w:rsidR="00FF3D9A">
        <w:rPr>
          <w:rFonts w:ascii="Times New Roman" w:hAnsi="Times New Roman" w:cs="Times New Roman"/>
          <w:color w:val="000000" w:themeColor="text1"/>
        </w:rPr>
        <w:t xml:space="preserve">I </w:t>
      </w:r>
      <w:r w:rsidR="00FF3D9A" w:rsidRPr="00FF3D9A">
        <w:rPr>
          <w:rFonts w:ascii="Times New Roman" w:hAnsi="Times New Roman" w:cs="Times New Roman"/>
          <w:color w:val="000000" w:themeColor="text1"/>
        </w:rPr>
        <w:t xml:space="preserve">developed a 101 curriculum (in-person and DE) for new English 101 instructors based on Writing about Writing pedagogies.   </w:t>
      </w:r>
    </w:p>
    <w:p w14:paraId="5DEB5BC4" w14:textId="296D3FCB" w:rsidR="006C02DC" w:rsidRPr="00FF3D9A" w:rsidRDefault="00583C48" w:rsidP="006C02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F3D9A">
        <w:rPr>
          <w:rFonts w:ascii="Times New Roman" w:hAnsi="Times New Roman" w:cs="Times New Roman"/>
          <w:b/>
          <w:bCs/>
          <w:color w:val="000000" w:themeColor="text1"/>
        </w:rPr>
        <w:t>New GTA Orientation</w:t>
      </w:r>
      <w:r w:rsidRPr="00FF3D9A">
        <w:rPr>
          <w:rFonts w:ascii="Times New Roman" w:hAnsi="Times New Roman" w:cs="Times New Roman"/>
          <w:color w:val="000000" w:themeColor="text1"/>
        </w:rPr>
        <w:t>: The ADCs and I</w:t>
      </w:r>
      <w:r w:rsidR="00F84BEB" w:rsidRPr="00FF3D9A">
        <w:rPr>
          <w:rFonts w:ascii="Times New Roman" w:hAnsi="Times New Roman" w:cs="Times New Roman"/>
          <w:color w:val="000000" w:themeColor="text1"/>
        </w:rPr>
        <w:t xml:space="preserve"> </w:t>
      </w:r>
      <w:r w:rsidR="00FF3D9A" w:rsidRPr="00FF3D9A">
        <w:rPr>
          <w:rFonts w:ascii="Times New Roman" w:hAnsi="Times New Roman" w:cs="Times New Roman"/>
          <w:color w:val="000000" w:themeColor="text1"/>
        </w:rPr>
        <w:t xml:space="preserve">converted our two-week online orientation </w:t>
      </w:r>
      <w:r w:rsidR="0028293B">
        <w:rPr>
          <w:rFonts w:ascii="Times New Roman" w:hAnsi="Times New Roman" w:cs="Times New Roman"/>
          <w:color w:val="000000" w:themeColor="text1"/>
        </w:rPr>
        <w:t xml:space="preserve">for new GTAs to </w:t>
      </w:r>
      <w:r w:rsidR="00FF3D9A" w:rsidRPr="00FF3D9A">
        <w:rPr>
          <w:rFonts w:ascii="Times New Roman" w:hAnsi="Times New Roman" w:cs="Times New Roman"/>
          <w:color w:val="000000" w:themeColor="text1"/>
        </w:rPr>
        <w:t>a</w:t>
      </w:r>
      <w:r w:rsidR="0028293B">
        <w:rPr>
          <w:rFonts w:ascii="Times New Roman" w:hAnsi="Times New Roman" w:cs="Times New Roman"/>
          <w:color w:val="000000" w:themeColor="text1"/>
        </w:rPr>
        <w:t xml:space="preserve"> two-week</w:t>
      </w:r>
      <w:r w:rsidR="00FF3D9A" w:rsidRPr="00FF3D9A">
        <w:rPr>
          <w:rFonts w:ascii="Times New Roman" w:hAnsi="Times New Roman" w:cs="Times New Roman"/>
          <w:color w:val="000000" w:themeColor="text1"/>
        </w:rPr>
        <w:t xml:space="preserve"> in-person orientation. </w:t>
      </w:r>
    </w:p>
    <w:p w14:paraId="418E817A" w14:textId="77777777" w:rsidR="00E33A3F" w:rsidRPr="00960E45" w:rsidRDefault="00E33A3F" w:rsidP="00E33A3F">
      <w:pPr>
        <w:pStyle w:val="ListParagraph"/>
        <w:rPr>
          <w:rFonts w:ascii="Times New Roman" w:hAnsi="Times New Roman" w:cs="Times New Roman"/>
          <w:color w:val="FF0000"/>
        </w:rPr>
      </w:pPr>
    </w:p>
    <w:p w14:paraId="368AD200" w14:textId="1B195ADE" w:rsidR="00F84BEB" w:rsidRPr="00960E45" w:rsidRDefault="00597E8D" w:rsidP="000B75FB">
      <w:pPr>
        <w:rPr>
          <w:b/>
          <w:bCs/>
          <w:i/>
          <w:iCs/>
          <w:color w:val="000000" w:themeColor="text1"/>
        </w:rPr>
      </w:pPr>
      <w:r w:rsidRPr="00960E45">
        <w:rPr>
          <w:b/>
          <w:bCs/>
          <w:i/>
          <w:iCs/>
          <w:color w:val="000000" w:themeColor="text1"/>
        </w:rPr>
        <w:t>Looking Ahead to AY</w:t>
      </w:r>
      <w:r w:rsidR="00F84BEB" w:rsidRPr="00960E45">
        <w:rPr>
          <w:b/>
          <w:bCs/>
          <w:i/>
          <w:iCs/>
          <w:color w:val="000000" w:themeColor="text1"/>
        </w:rPr>
        <w:t>2</w:t>
      </w:r>
      <w:r w:rsidR="00CE68F3" w:rsidRPr="00960E45">
        <w:rPr>
          <w:b/>
          <w:bCs/>
          <w:i/>
          <w:iCs/>
          <w:color w:val="000000" w:themeColor="text1"/>
        </w:rPr>
        <w:t>1</w:t>
      </w:r>
      <w:r w:rsidR="00F84BEB" w:rsidRPr="00960E45">
        <w:rPr>
          <w:b/>
          <w:bCs/>
          <w:i/>
          <w:iCs/>
          <w:color w:val="000000" w:themeColor="text1"/>
        </w:rPr>
        <w:t>-2</w:t>
      </w:r>
      <w:r w:rsidR="00CE68F3" w:rsidRPr="00960E45">
        <w:rPr>
          <w:b/>
          <w:bCs/>
          <w:i/>
          <w:iCs/>
          <w:color w:val="000000" w:themeColor="text1"/>
        </w:rPr>
        <w:t>2</w:t>
      </w:r>
    </w:p>
    <w:p w14:paraId="7618AB35" w14:textId="2F66F2A4" w:rsidR="00214A46" w:rsidRPr="0028293B" w:rsidRDefault="0028293B" w:rsidP="000B75FB">
      <w:r>
        <w:t xml:space="preserve">Due to instructors leaving, in July and August I hired and oriented seven new part-time faculty: Joshua English, </w:t>
      </w:r>
      <w:proofErr w:type="spellStart"/>
      <w:r>
        <w:t>Neleigh</w:t>
      </w:r>
      <w:proofErr w:type="spellEnd"/>
      <w:r>
        <w:t xml:space="preserve"> Olson, Melissa Zipper, Heather </w:t>
      </w:r>
      <w:proofErr w:type="spellStart"/>
      <w:r>
        <w:t>Lehocky</w:t>
      </w:r>
      <w:proofErr w:type="spellEnd"/>
      <w:r>
        <w:t xml:space="preserve">, Dr. Elizabeth Glass, Tina Rose, and </w:t>
      </w:r>
      <w:proofErr w:type="spellStart"/>
      <w:r>
        <w:t>Ardeen</w:t>
      </w:r>
      <w:proofErr w:type="spellEnd"/>
      <w:r>
        <w:t xml:space="preserve"> Top. </w:t>
      </w:r>
    </w:p>
    <w:p w14:paraId="114E3391" w14:textId="77777777" w:rsidR="00214A46" w:rsidRPr="00960E45" w:rsidRDefault="00214A46" w:rsidP="000B75FB"/>
    <w:p w14:paraId="4FCF1DA2" w14:textId="2B6D0B10" w:rsidR="00EC5C21" w:rsidRPr="00960E45" w:rsidRDefault="000B75FB" w:rsidP="000B75FB">
      <w:pPr>
        <w:rPr>
          <w:b/>
          <w:bCs/>
          <w:i/>
          <w:iCs/>
          <w:color w:val="000000" w:themeColor="text1"/>
        </w:rPr>
      </w:pPr>
      <w:r w:rsidRPr="0028293B">
        <w:t>This year, the ADCs are</w:t>
      </w:r>
      <w:r w:rsidR="003316A0" w:rsidRPr="0028293B">
        <w:t xml:space="preserve"> </w:t>
      </w:r>
      <w:r w:rsidR="00F84BEB" w:rsidRPr="0028293B">
        <w:t>Lauren Fusilier</w:t>
      </w:r>
      <w:r w:rsidR="00CE68F3" w:rsidRPr="0028293B">
        <w:t>, Cooper Day, and Taylor Riley.</w:t>
      </w:r>
      <w:r w:rsidRPr="00960E45">
        <w:t xml:space="preserve"> </w:t>
      </w:r>
    </w:p>
    <w:p w14:paraId="095092D2" w14:textId="77777777" w:rsidR="00082D5B" w:rsidRPr="00960E45" w:rsidRDefault="00082D5B" w:rsidP="000B75FB"/>
    <w:p w14:paraId="133CAC3F" w14:textId="37C20B78" w:rsidR="000B75FB" w:rsidRPr="00960E45" w:rsidRDefault="00082D5B" w:rsidP="000B75FB">
      <w:r w:rsidRPr="00960E45">
        <w:t xml:space="preserve">We are offering </w:t>
      </w:r>
      <w:r w:rsidR="00F91780" w:rsidRPr="00960E45">
        <w:t>113</w:t>
      </w:r>
      <w:r w:rsidR="00483047" w:rsidRPr="00960E45">
        <w:t xml:space="preserve"> sections</w:t>
      </w:r>
      <w:r w:rsidRPr="00960E45">
        <w:t xml:space="preserve"> in </w:t>
      </w:r>
      <w:r w:rsidR="000B75FB" w:rsidRPr="00960E45">
        <w:t xml:space="preserve">Fall </w:t>
      </w:r>
      <w:r w:rsidR="00F91780" w:rsidRPr="00960E45">
        <w:t>2021</w:t>
      </w:r>
      <w:r w:rsidR="00483047" w:rsidRPr="00960E45">
        <w:t xml:space="preserve">, </w:t>
      </w:r>
      <w:r w:rsidR="00F91780" w:rsidRPr="00960E45">
        <w:t>an increase of 2</w:t>
      </w:r>
      <w:r w:rsidR="00483047" w:rsidRPr="00960E45">
        <w:t xml:space="preserve"> courses</w:t>
      </w:r>
      <w:r w:rsidR="00F91780" w:rsidRPr="00960E45">
        <w:t xml:space="preserve"> from Fall 2020</w:t>
      </w:r>
      <w:r w:rsidR="00AA1316" w:rsidRPr="00960E45">
        <w:t>, when we offered 111 sections</w:t>
      </w:r>
      <w:r w:rsidR="00483047" w:rsidRPr="00960E4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1890"/>
      </w:tblGrid>
      <w:tr w:rsidR="00977F55" w:rsidRPr="00960E45" w14:paraId="2B7F4451" w14:textId="2EF5DC47" w:rsidTr="003C6E82">
        <w:tc>
          <w:tcPr>
            <w:tcW w:w="1615" w:type="dxa"/>
          </w:tcPr>
          <w:p w14:paraId="67C78B7D" w14:textId="77777777" w:rsidR="00977F55" w:rsidRPr="00960E45" w:rsidRDefault="00977F55" w:rsidP="00F4461E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>Course</w:t>
            </w:r>
          </w:p>
        </w:tc>
        <w:tc>
          <w:tcPr>
            <w:tcW w:w="1890" w:type="dxa"/>
          </w:tcPr>
          <w:p w14:paraId="6D3F2BC6" w14:textId="77777777" w:rsidR="00977F55" w:rsidRPr="00960E45" w:rsidRDefault="00977F55" w:rsidP="00F4461E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 xml:space="preserve">Number of Sections </w:t>
            </w:r>
          </w:p>
        </w:tc>
        <w:tc>
          <w:tcPr>
            <w:tcW w:w="1890" w:type="dxa"/>
          </w:tcPr>
          <w:p w14:paraId="29105DF2" w14:textId="48C436A3" w:rsidR="00977F55" w:rsidRPr="00960E45" w:rsidRDefault="00977F55" w:rsidP="00F4461E">
            <w:pPr>
              <w:rPr>
                <w:b/>
                <w:bCs/>
              </w:rPr>
            </w:pPr>
            <w:r w:rsidRPr="00960E45">
              <w:rPr>
                <w:b/>
                <w:bCs/>
              </w:rPr>
              <w:t xml:space="preserve">Difference from Fall </w:t>
            </w:r>
            <w:r w:rsidR="00220D7D" w:rsidRPr="00960E45">
              <w:rPr>
                <w:b/>
                <w:bCs/>
              </w:rPr>
              <w:t>2020</w:t>
            </w:r>
          </w:p>
        </w:tc>
      </w:tr>
      <w:tr w:rsidR="00977F55" w:rsidRPr="00960E45" w14:paraId="142692F2" w14:textId="73F0D1B2" w:rsidTr="003C6E82">
        <w:tc>
          <w:tcPr>
            <w:tcW w:w="1615" w:type="dxa"/>
          </w:tcPr>
          <w:p w14:paraId="7B41C0CF" w14:textId="4E372CC7" w:rsidR="00977F55" w:rsidRPr="00960E45" w:rsidRDefault="00977F55" w:rsidP="00F4461E">
            <w:r w:rsidRPr="00960E45">
              <w:t>101</w:t>
            </w:r>
          </w:p>
        </w:tc>
        <w:tc>
          <w:tcPr>
            <w:tcW w:w="1890" w:type="dxa"/>
          </w:tcPr>
          <w:p w14:paraId="248EC4F4" w14:textId="790E1322" w:rsidR="00977F55" w:rsidRPr="00960E45" w:rsidRDefault="00483047" w:rsidP="00F4461E">
            <w:r w:rsidRPr="00960E45">
              <w:t>6</w:t>
            </w:r>
            <w:r w:rsidR="00F91780" w:rsidRPr="00960E45">
              <w:t>5</w:t>
            </w:r>
          </w:p>
        </w:tc>
        <w:tc>
          <w:tcPr>
            <w:tcW w:w="1890" w:type="dxa"/>
          </w:tcPr>
          <w:p w14:paraId="78A9901F" w14:textId="2639F69D" w:rsidR="00977F55" w:rsidRPr="00960E45" w:rsidRDefault="00F91780" w:rsidP="00F4461E">
            <w:r w:rsidRPr="00960E45">
              <w:t>+3</w:t>
            </w:r>
            <w:r w:rsidR="00977F55" w:rsidRPr="00960E45">
              <w:t xml:space="preserve"> courses </w:t>
            </w:r>
          </w:p>
        </w:tc>
      </w:tr>
      <w:tr w:rsidR="00977F55" w:rsidRPr="00960E45" w14:paraId="60C96815" w14:textId="1C0AFC36" w:rsidTr="003C6E82">
        <w:tc>
          <w:tcPr>
            <w:tcW w:w="1615" w:type="dxa"/>
          </w:tcPr>
          <w:p w14:paraId="5556D464" w14:textId="57E1E043" w:rsidR="00977F55" w:rsidRPr="00960E45" w:rsidRDefault="00977F55" w:rsidP="00F4461E">
            <w:r w:rsidRPr="00960E45">
              <w:t>102</w:t>
            </w:r>
          </w:p>
        </w:tc>
        <w:tc>
          <w:tcPr>
            <w:tcW w:w="1890" w:type="dxa"/>
          </w:tcPr>
          <w:p w14:paraId="7F1EEF25" w14:textId="48FA68D3" w:rsidR="00977F55" w:rsidRPr="00960E45" w:rsidRDefault="00F91780" w:rsidP="00F4461E">
            <w:r w:rsidRPr="00960E45">
              <w:t>29</w:t>
            </w:r>
            <w:r w:rsidR="00977F55" w:rsidRPr="00960E45">
              <w:t xml:space="preserve"> </w:t>
            </w:r>
          </w:p>
        </w:tc>
        <w:tc>
          <w:tcPr>
            <w:tcW w:w="1890" w:type="dxa"/>
          </w:tcPr>
          <w:p w14:paraId="6C7A5C56" w14:textId="6B14D71E" w:rsidR="00977F55" w:rsidRPr="00960E45" w:rsidRDefault="00F91780" w:rsidP="00F4461E">
            <w:r w:rsidRPr="00960E45">
              <w:t>-2</w:t>
            </w:r>
          </w:p>
        </w:tc>
      </w:tr>
      <w:tr w:rsidR="00977F55" w:rsidRPr="00960E45" w14:paraId="0BFB4627" w14:textId="2D353C57" w:rsidTr="003C6E82">
        <w:tc>
          <w:tcPr>
            <w:tcW w:w="1615" w:type="dxa"/>
          </w:tcPr>
          <w:p w14:paraId="4AA75B5F" w14:textId="79F71020" w:rsidR="00977F55" w:rsidRPr="00960E45" w:rsidRDefault="00977F55" w:rsidP="00F4461E">
            <w:r w:rsidRPr="00960E45">
              <w:t>105</w:t>
            </w:r>
          </w:p>
        </w:tc>
        <w:tc>
          <w:tcPr>
            <w:tcW w:w="1890" w:type="dxa"/>
          </w:tcPr>
          <w:p w14:paraId="116933F7" w14:textId="551C6EBB" w:rsidR="00977F55" w:rsidRPr="00960E45" w:rsidRDefault="00F91780" w:rsidP="00F4461E">
            <w:r w:rsidRPr="00960E45">
              <w:t>8</w:t>
            </w:r>
          </w:p>
        </w:tc>
        <w:tc>
          <w:tcPr>
            <w:tcW w:w="1890" w:type="dxa"/>
          </w:tcPr>
          <w:p w14:paraId="6E589B10" w14:textId="1F1FF983" w:rsidR="00977F55" w:rsidRPr="00960E45" w:rsidRDefault="00F91780" w:rsidP="00F4461E">
            <w:r w:rsidRPr="00960E45">
              <w:t>--</w:t>
            </w:r>
          </w:p>
        </w:tc>
      </w:tr>
      <w:tr w:rsidR="00977F55" w:rsidRPr="00960E45" w14:paraId="35688E44" w14:textId="58419D43" w:rsidTr="003C6E82">
        <w:tc>
          <w:tcPr>
            <w:tcW w:w="1615" w:type="dxa"/>
          </w:tcPr>
          <w:p w14:paraId="7802A67D" w14:textId="02E5975C" w:rsidR="00977F55" w:rsidRPr="00960E45" w:rsidRDefault="00977F55" w:rsidP="00F4461E">
            <w:r w:rsidRPr="00960E45">
              <w:t>303</w:t>
            </w:r>
          </w:p>
        </w:tc>
        <w:tc>
          <w:tcPr>
            <w:tcW w:w="1890" w:type="dxa"/>
          </w:tcPr>
          <w:p w14:paraId="18BA129B" w14:textId="7068D346" w:rsidR="00977F55" w:rsidRPr="00960E45" w:rsidRDefault="00F91780" w:rsidP="00F4461E">
            <w:r w:rsidRPr="00960E45">
              <w:t>2</w:t>
            </w:r>
          </w:p>
        </w:tc>
        <w:tc>
          <w:tcPr>
            <w:tcW w:w="1890" w:type="dxa"/>
          </w:tcPr>
          <w:p w14:paraId="683AF545" w14:textId="34A7D187" w:rsidR="00977F55" w:rsidRPr="00960E45" w:rsidRDefault="00F91780" w:rsidP="00F4461E">
            <w:r w:rsidRPr="00960E45">
              <w:t>+1</w:t>
            </w:r>
          </w:p>
        </w:tc>
      </w:tr>
      <w:tr w:rsidR="00977F55" w:rsidRPr="00960E45" w14:paraId="00BAF6B2" w14:textId="38E0416B" w:rsidTr="003C6E82">
        <w:tc>
          <w:tcPr>
            <w:tcW w:w="1615" w:type="dxa"/>
          </w:tcPr>
          <w:p w14:paraId="07CA2520" w14:textId="2B62172E" w:rsidR="00977F55" w:rsidRPr="00960E45" w:rsidRDefault="00977F55" w:rsidP="00F4461E">
            <w:r w:rsidRPr="00960E45">
              <w:t>306</w:t>
            </w:r>
          </w:p>
        </w:tc>
        <w:tc>
          <w:tcPr>
            <w:tcW w:w="1890" w:type="dxa"/>
          </w:tcPr>
          <w:p w14:paraId="70FEF99D" w14:textId="02530C66" w:rsidR="00977F55" w:rsidRPr="00960E45" w:rsidRDefault="00F91780" w:rsidP="00F4461E">
            <w:r w:rsidRPr="00960E45">
              <w:t>7</w:t>
            </w:r>
          </w:p>
        </w:tc>
        <w:tc>
          <w:tcPr>
            <w:tcW w:w="1890" w:type="dxa"/>
          </w:tcPr>
          <w:p w14:paraId="0E3A6830" w14:textId="77B53A44" w:rsidR="00977F55" w:rsidRPr="00960E45" w:rsidRDefault="00F91780" w:rsidP="00F4461E">
            <w:r w:rsidRPr="00960E45">
              <w:t>-1</w:t>
            </w:r>
          </w:p>
        </w:tc>
      </w:tr>
      <w:tr w:rsidR="00977F55" w:rsidRPr="00960E45" w14:paraId="484968AD" w14:textId="71BBA365" w:rsidTr="003C6E82">
        <w:tc>
          <w:tcPr>
            <w:tcW w:w="1615" w:type="dxa"/>
          </w:tcPr>
          <w:p w14:paraId="0358EAE3" w14:textId="2116450D" w:rsidR="00977F55" w:rsidRPr="00960E45" w:rsidRDefault="00977F55" w:rsidP="00F4461E">
            <w:r w:rsidRPr="00960E45">
              <w:t>309</w:t>
            </w:r>
          </w:p>
        </w:tc>
        <w:tc>
          <w:tcPr>
            <w:tcW w:w="1890" w:type="dxa"/>
          </w:tcPr>
          <w:p w14:paraId="0537C9E7" w14:textId="3214DE78" w:rsidR="00977F55" w:rsidRPr="00960E45" w:rsidRDefault="00F91780" w:rsidP="00F4461E">
            <w:r w:rsidRPr="00960E45">
              <w:t>2</w:t>
            </w:r>
          </w:p>
        </w:tc>
        <w:tc>
          <w:tcPr>
            <w:tcW w:w="1890" w:type="dxa"/>
          </w:tcPr>
          <w:p w14:paraId="46784F1B" w14:textId="1D4BF9C0" w:rsidR="00977F55" w:rsidRPr="00960E45" w:rsidRDefault="00F91780" w:rsidP="00F4461E">
            <w:r w:rsidRPr="00960E45">
              <w:t>+1</w:t>
            </w:r>
          </w:p>
        </w:tc>
      </w:tr>
    </w:tbl>
    <w:p w14:paraId="168378BF" w14:textId="0A7CD873" w:rsidR="000B75FB" w:rsidRPr="00960E45" w:rsidRDefault="000B75FB" w:rsidP="000B75FB"/>
    <w:p w14:paraId="35A69D10" w14:textId="590D648A" w:rsidR="00583C48" w:rsidRPr="00960E45" w:rsidRDefault="00F155F0" w:rsidP="00006EE1">
      <w:r w:rsidRPr="00960E45">
        <w:t>We will be</w:t>
      </w:r>
      <w:r w:rsidR="00006EE1" w:rsidRPr="00960E45">
        <w:t xml:space="preserve"> organizing pedagogy workshops, publishing another issue of </w:t>
      </w:r>
      <w:r w:rsidR="00006EE1" w:rsidRPr="00960E45">
        <w:rPr>
          <w:i/>
          <w:iCs/>
        </w:rPr>
        <w:t>Cardinal Compositions</w:t>
      </w:r>
      <w:r w:rsidR="00006EE1" w:rsidRPr="00960E45">
        <w:t xml:space="preserve">, </w:t>
      </w:r>
      <w:r w:rsidR="00CE68F3" w:rsidRPr="0028293B">
        <w:t xml:space="preserve">offering a </w:t>
      </w:r>
      <w:proofErr w:type="gramStart"/>
      <w:r w:rsidR="00CE68F3" w:rsidRPr="0028293B">
        <w:t>mini-course</w:t>
      </w:r>
      <w:proofErr w:type="gramEnd"/>
      <w:r w:rsidR="00CE68F3" w:rsidRPr="0028293B">
        <w:t xml:space="preserve"> on antiracist writing instruction</w:t>
      </w:r>
      <w:r w:rsidR="00006EE1" w:rsidRPr="0028293B">
        <w:t>, and producing the Celebration of Student Writing under the auspices of the Arts and Research Showcase</w:t>
      </w:r>
      <w:r w:rsidR="00006EE1" w:rsidRPr="00960E45">
        <w:t xml:space="preserve">. </w:t>
      </w:r>
    </w:p>
    <w:p w14:paraId="57885781" w14:textId="77777777" w:rsidR="005B438B" w:rsidRPr="00960E45" w:rsidRDefault="005B438B" w:rsidP="000B75FB"/>
    <w:p w14:paraId="340D230F" w14:textId="733BC884" w:rsidR="00082D5B" w:rsidRPr="00960E45" w:rsidRDefault="000119DD" w:rsidP="000B75FB">
      <w:r w:rsidRPr="00960E45">
        <w:t>Lastly, we plan to revise the protocol for online course observations and update the “</w:t>
      </w:r>
      <w:hyperlink r:id="rId6" w:history="1">
        <w:r w:rsidRPr="00960E45">
          <w:rPr>
            <w:rStyle w:val="Hyperlink"/>
          </w:rPr>
          <w:t>e-files</w:t>
        </w:r>
      </w:hyperlink>
      <w:r w:rsidRPr="00960E45">
        <w:t>” or develop a new place to house and share instructor materials.</w:t>
      </w:r>
    </w:p>
    <w:p w14:paraId="74CD01B5" w14:textId="4E9C3BCF" w:rsidR="0071039E" w:rsidRPr="00960E45" w:rsidRDefault="0071039E" w:rsidP="000B75FB">
      <w:r w:rsidRPr="00960E45">
        <w:tab/>
      </w:r>
      <w:r w:rsidRPr="00960E45">
        <w:tab/>
      </w:r>
      <w:r w:rsidRPr="00960E45">
        <w:tab/>
      </w:r>
      <w:r w:rsidRPr="00960E45">
        <w:tab/>
      </w:r>
      <w:r w:rsidRPr="00960E45">
        <w:tab/>
      </w:r>
    </w:p>
    <w:p w14:paraId="1959DC43" w14:textId="1DE983AE" w:rsidR="000B75FB" w:rsidRPr="00960E45" w:rsidRDefault="0071039E" w:rsidP="000B75FB">
      <w:r w:rsidRPr="00960E45">
        <w:tab/>
      </w:r>
    </w:p>
    <w:p w14:paraId="2763AE77" w14:textId="77777777" w:rsidR="000B75FB" w:rsidRPr="00960E45" w:rsidRDefault="000B75FB" w:rsidP="000B75FB"/>
    <w:p w14:paraId="3628C095" w14:textId="77777777" w:rsidR="000B75FB" w:rsidRPr="00960E45" w:rsidRDefault="000B75FB" w:rsidP="000B75FB"/>
    <w:p w14:paraId="5470D431" w14:textId="77777777" w:rsidR="000B75FB" w:rsidRPr="00960E45" w:rsidRDefault="000B75FB" w:rsidP="000B75FB"/>
    <w:p w14:paraId="37993235" w14:textId="77777777" w:rsidR="000B75FB" w:rsidRPr="00960E45" w:rsidRDefault="000B75FB" w:rsidP="0028293B"/>
    <w:sectPr w:rsidR="000B75FB" w:rsidRPr="00960E45" w:rsidSect="000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5E"/>
    <w:multiLevelType w:val="multilevel"/>
    <w:tmpl w:val="D67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0C8B"/>
    <w:multiLevelType w:val="hybridMultilevel"/>
    <w:tmpl w:val="E8B8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735"/>
    <w:multiLevelType w:val="multilevel"/>
    <w:tmpl w:val="207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7F9C"/>
    <w:multiLevelType w:val="hybridMultilevel"/>
    <w:tmpl w:val="26120614"/>
    <w:lvl w:ilvl="0" w:tplc="65E8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CBD"/>
    <w:multiLevelType w:val="hybridMultilevel"/>
    <w:tmpl w:val="24B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2FD3"/>
    <w:multiLevelType w:val="multilevel"/>
    <w:tmpl w:val="DB4A40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85BDB"/>
    <w:multiLevelType w:val="hybridMultilevel"/>
    <w:tmpl w:val="766C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3E03"/>
    <w:multiLevelType w:val="hybridMultilevel"/>
    <w:tmpl w:val="934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9B74E4"/>
    <w:multiLevelType w:val="multilevel"/>
    <w:tmpl w:val="540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62EAA"/>
    <w:multiLevelType w:val="hybridMultilevel"/>
    <w:tmpl w:val="E45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7856">
    <w:abstractNumId w:val="6"/>
  </w:num>
  <w:num w:numId="2" w16cid:durableId="1219976233">
    <w:abstractNumId w:val="1"/>
  </w:num>
  <w:num w:numId="3" w16cid:durableId="1177041007">
    <w:abstractNumId w:val="4"/>
  </w:num>
  <w:num w:numId="4" w16cid:durableId="358552749">
    <w:abstractNumId w:val="7"/>
  </w:num>
  <w:num w:numId="5" w16cid:durableId="1531407052">
    <w:abstractNumId w:val="0"/>
  </w:num>
  <w:num w:numId="6" w16cid:durableId="1155684976">
    <w:abstractNumId w:val="2"/>
  </w:num>
  <w:num w:numId="7" w16cid:durableId="2081369929">
    <w:abstractNumId w:val="8"/>
  </w:num>
  <w:num w:numId="8" w16cid:durableId="1694453508">
    <w:abstractNumId w:val="3"/>
  </w:num>
  <w:num w:numId="9" w16cid:durableId="669214339">
    <w:abstractNumId w:val="9"/>
  </w:num>
  <w:num w:numId="10" w16cid:durableId="1976180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FB"/>
    <w:rsid w:val="00006EE1"/>
    <w:rsid w:val="000119DD"/>
    <w:rsid w:val="000226F4"/>
    <w:rsid w:val="00075906"/>
    <w:rsid w:val="00082D5B"/>
    <w:rsid w:val="000A3276"/>
    <w:rsid w:val="000B75FB"/>
    <w:rsid w:val="000C305C"/>
    <w:rsid w:val="000D6138"/>
    <w:rsid w:val="000E1438"/>
    <w:rsid w:val="001069EA"/>
    <w:rsid w:val="00124AA3"/>
    <w:rsid w:val="001939EB"/>
    <w:rsid w:val="00214A46"/>
    <w:rsid w:val="00220D7D"/>
    <w:rsid w:val="002354B7"/>
    <w:rsid w:val="00243E0D"/>
    <w:rsid w:val="0028293B"/>
    <w:rsid w:val="0029230D"/>
    <w:rsid w:val="002C2291"/>
    <w:rsid w:val="002E2BC1"/>
    <w:rsid w:val="003316A0"/>
    <w:rsid w:val="00367495"/>
    <w:rsid w:val="003B70A0"/>
    <w:rsid w:val="003F2F61"/>
    <w:rsid w:val="00412A2F"/>
    <w:rsid w:val="00483047"/>
    <w:rsid w:val="004E2B38"/>
    <w:rsid w:val="004F5973"/>
    <w:rsid w:val="005226D9"/>
    <w:rsid w:val="005535DF"/>
    <w:rsid w:val="00583C48"/>
    <w:rsid w:val="00597E8D"/>
    <w:rsid w:val="005A0A74"/>
    <w:rsid w:val="005A2C79"/>
    <w:rsid w:val="005B438B"/>
    <w:rsid w:val="005B776C"/>
    <w:rsid w:val="00653DEA"/>
    <w:rsid w:val="006C02DC"/>
    <w:rsid w:val="0070582F"/>
    <w:rsid w:val="0071039E"/>
    <w:rsid w:val="00736193"/>
    <w:rsid w:val="00781C9F"/>
    <w:rsid w:val="007D2540"/>
    <w:rsid w:val="007E4A02"/>
    <w:rsid w:val="007F5671"/>
    <w:rsid w:val="007F7B54"/>
    <w:rsid w:val="00862E26"/>
    <w:rsid w:val="0087045A"/>
    <w:rsid w:val="0088456B"/>
    <w:rsid w:val="008952D4"/>
    <w:rsid w:val="008B3B6F"/>
    <w:rsid w:val="00900F7C"/>
    <w:rsid w:val="00960E45"/>
    <w:rsid w:val="00962F45"/>
    <w:rsid w:val="00977F55"/>
    <w:rsid w:val="00982D15"/>
    <w:rsid w:val="00987CFB"/>
    <w:rsid w:val="009B4F87"/>
    <w:rsid w:val="009E7E58"/>
    <w:rsid w:val="009F6D4E"/>
    <w:rsid w:val="00A11AD6"/>
    <w:rsid w:val="00A131D5"/>
    <w:rsid w:val="00A42CB8"/>
    <w:rsid w:val="00A60E45"/>
    <w:rsid w:val="00A96B99"/>
    <w:rsid w:val="00AA1316"/>
    <w:rsid w:val="00AA1FE8"/>
    <w:rsid w:val="00AB5624"/>
    <w:rsid w:val="00AD4FD9"/>
    <w:rsid w:val="00AF0780"/>
    <w:rsid w:val="00AF1F08"/>
    <w:rsid w:val="00B762D7"/>
    <w:rsid w:val="00C46CD3"/>
    <w:rsid w:val="00C97284"/>
    <w:rsid w:val="00CA28F7"/>
    <w:rsid w:val="00CE68F3"/>
    <w:rsid w:val="00CF4CAB"/>
    <w:rsid w:val="00D02205"/>
    <w:rsid w:val="00D10D45"/>
    <w:rsid w:val="00D949FA"/>
    <w:rsid w:val="00E33A3F"/>
    <w:rsid w:val="00E46FAE"/>
    <w:rsid w:val="00EC5C21"/>
    <w:rsid w:val="00F125BC"/>
    <w:rsid w:val="00F155F0"/>
    <w:rsid w:val="00F6118C"/>
    <w:rsid w:val="00F84BEB"/>
    <w:rsid w:val="00F91780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3F73C"/>
  <w14:defaultImageDpi w14:val="300"/>
  <w15:docId w15:val="{5A1E6986-70AA-6B47-8B3B-EBA9371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29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C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5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3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2540"/>
  </w:style>
  <w:style w:type="character" w:styleId="Strong">
    <w:name w:val="Strong"/>
    <w:basedOn w:val="DefaultParagraphFont"/>
    <w:uiPriority w:val="22"/>
    <w:qFormat/>
    <w:rsid w:val="00006E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isville.app.box.com/s/1ygexeljr7tfpnkr3u2dzhdxg0bhrmjm" TargetMode="External"/><Relationship Id="rId5" Type="http://schemas.openxmlformats.org/officeDocument/2006/relationships/hyperlink" Target="https://ir.library.louisville.edu/cardco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Olinger,Andrea R</cp:lastModifiedBy>
  <cp:revision>74</cp:revision>
  <dcterms:created xsi:type="dcterms:W3CDTF">2019-08-05T17:39:00Z</dcterms:created>
  <dcterms:modified xsi:type="dcterms:W3CDTF">2022-08-17T00:05:00Z</dcterms:modified>
</cp:coreProperties>
</file>