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0542" w14:textId="598CBD06" w:rsidR="00B762D7" w:rsidRPr="00243E0D" w:rsidRDefault="000B75FB" w:rsidP="00124AA3">
      <w:pPr>
        <w:jc w:val="center"/>
        <w:rPr>
          <w:b/>
        </w:rPr>
      </w:pPr>
      <w:r w:rsidRPr="00243E0D">
        <w:rPr>
          <w:b/>
        </w:rPr>
        <w:t>Composition</w:t>
      </w:r>
      <w:r w:rsidR="00AA1FE8" w:rsidRPr="00243E0D">
        <w:rPr>
          <w:b/>
        </w:rPr>
        <w:t xml:space="preserve"> Program R</w:t>
      </w:r>
      <w:r w:rsidRPr="00243E0D">
        <w:rPr>
          <w:b/>
        </w:rPr>
        <w:t xml:space="preserve">eport AY </w:t>
      </w:r>
      <w:r w:rsidR="00075906">
        <w:rPr>
          <w:b/>
        </w:rPr>
        <w:t>2019-2020</w:t>
      </w:r>
    </w:p>
    <w:p w14:paraId="65F2373E" w14:textId="7059AA6D" w:rsidR="002C2291" w:rsidRPr="00243E0D" w:rsidRDefault="002C2291" w:rsidP="00124AA3">
      <w:pPr>
        <w:jc w:val="center"/>
        <w:rPr>
          <w:bCs/>
        </w:rPr>
      </w:pPr>
      <w:r w:rsidRPr="00243E0D">
        <w:rPr>
          <w:bCs/>
        </w:rPr>
        <w:t xml:space="preserve">Filed August </w:t>
      </w:r>
      <w:r w:rsidR="00075906">
        <w:rPr>
          <w:bCs/>
        </w:rPr>
        <w:t>11, 2020</w:t>
      </w:r>
      <w:r w:rsidRPr="00243E0D">
        <w:rPr>
          <w:bCs/>
        </w:rPr>
        <w:t xml:space="preserve">, by Andrea Olinger, Director of Composition </w:t>
      </w:r>
    </w:p>
    <w:p w14:paraId="64669389" w14:textId="77777777" w:rsidR="000B75FB" w:rsidRPr="00243E0D" w:rsidRDefault="000B75FB" w:rsidP="00124AA3">
      <w:pPr>
        <w:jc w:val="center"/>
        <w:rPr>
          <w:b/>
        </w:rPr>
      </w:pPr>
    </w:p>
    <w:p w14:paraId="4C61B2C9" w14:textId="1057DB19" w:rsidR="002C2291" w:rsidRPr="00243E0D" w:rsidRDefault="002C2291">
      <w:pPr>
        <w:rPr>
          <w:b/>
          <w:bCs/>
          <w:i/>
          <w:iCs/>
        </w:rPr>
      </w:pPr>
      <w:r w:rsidRPr="00243E0D">
        <w:rPr>
          <w:b/>
          <w:bCs/>
          <w:i/>
          <w:iCs/>
        </w:rPr>
        <w:t>Courses Taught</w:t>
      </w:r>
    </w:p>
    <w:p w14:paraId="4E36D173" w14:textId="2A2EB90B" w:rsidR="000B75FB" w:rsidRPr="00243E0D" w:rsidRDefault="006C02DC">
      <w:r>
        <w:t>In Fall 2019, Spring 2020, and Summer 2020</w:t>
      </w:r>
      <w:r w:rsidR="000B75FB" w:rsidRPr="00243E0D">
        <w:t xml:space="preserve">, </w:t>
      </w:r>
      <w:r w:rsidR="002C2291" w:rsidRPr="00243E0D">
        <w:t>the</w:t>
      </w:r>
      <w:r w:rsidR="000B75FB" w:rsidRPr="00243E0D">
        <w:t xml:space="preserve"> </w:t>
      </w:r>
      <w:r w:rsidR="002C2291" w:rsidRPr="00243E0D">
        <w:t>c</w:t>
      </w:r>
      <w:r w:rsidR="000B75FB" w:rsidRPr="00243E0D">
        <w:t xml:space="preserve">omposition program taught </w:t>
      </w:r>
      <w:r w:rsidR="00A11AD6">
        <w:t>224 sections (six fewer than AY 2019-2020)</w:t>
      </w:r>
      <w:r w:rsidR="000A3276">
        <w:t xml:space="preserve">. If we assume full enrollment, this means </w:t>
      </w:r>
      <w:r>
        <w:t>5,125 students</w:t>
      </w:r>
      <w:r w:rsidR="000A3276">
        <w:t xml:space="preserve">; </w:t>
      </w:r>
      <w:r w:rsidR="000E1438">
        <w:t>I</w:t>
      </w:r>
      <w:r>
        <w:t xml:space="preserve"> will be checking on this number</w:t>
      </w:r>
      <w:r w:rsidR="000A3276">
        <w:t xml:space="preserve"> to find out actual enrollments across all sections.</w:t>
      </w:r>
    </w:p>
    <w:p w14:paraId="2420906D" w14:textId="0463A323" w:rsidR="002C2291" w:rsidRPr="00243E0D" w:rsidRDefault="002C2291"/>
    <w:tbl>
      <w:tblPr>
        <w:tblStyle w:val="TableGrid"/>
        <w:tblW w:w="0" w:type="auto"/>
        <w:tblLook w:val="04A0" w:firstRow="1" w:lastRow="0" w:firstColumn="1" w:lastColumn="0" w:noHBand="0" w:noVBand="1"/>
      </w:tblPr>
      <w:tblGrid>
        <w:gridCol w:w="1615"/>
        <w:gridCol w:w="2970"/>
      </w:tblGrid>
      <w:tr w:rsidR="002C2291" w:rsidRPr="00243E0D" w14:paraId="6D02E6F9" w14:textId="77777777" w:rsidTr="00A11AD6">
        <w:tc>
          <w:tcPr>
            <w:tcW w:w="1615" w:type="dxa"/>
          </w:tcPr>
          <w:p w14:paraId="4F63C496" w14:textId="51F57CE2" w:rsidR="002C2291" w:rsidRPr="00243E0D" w:rsidRDefault="002C2291">
            <w:pPr>
              <w:rPr>
                <w:b/>
                <w:bCs/>
              </w:rPr>
            </w:pPr>
            <w:r w:rsidRPr="00243E0D">
              <w:rPr>
                <w:b/>
                <w:bCs/>
              </w:rPr>
              <w:t>Course</w:t>
            </w:r>
          </w:p>
        </w:tc>
        <w:tc>
          <w:tcPr>
            <w:tcW w:w="2970" w:type="dxa"/>
          </w:tcPr>
          <w:p w14:paraId="41797ED1" w14:textId="5561EC07" w:rsidR="002C2291" w:rsidRPr="00243E0D" w:rsidRDefault="002C2291">
            <w:pPr>
              <w:rPr>
                <w:b/>
                <w:bCs/>
              </w:rPr>
            </w:pPr>
            <w:r w:rsidRPr="00243E0D">
              <w:rPr>
                <w:b/>
                <w:bCs/>
              </w:rPr>
              <w:t xml:space="preserve">Number of Sections </w:t>
            </w:r>
          </w:p>
        </w:tc>
      </w:tr>
      <w:tr w:rsidR="002C2291" w:rsidRPr="00243E0D" w14:paraId="6DCB3704" w14:textId="77777777" w:rsidTr="00A11AD6">
        <w:tc>
          <w:tcPr>
            <w:tcW w:w="1615" w:type="dxa"/>
          </w:tcPr>
          <w:p w14:paraId="11EB9C78" w14:textId="02BB2CB5" w:rsidR="002C2291" w:rsidRPr="00243E0D" w:rsidRDefault="002C2291">
            <w:r w:rsidRPr="00243E0D">
              <w:t>101</w:t>
            </w:r>
          </w:p>
        </w:tc>
        <w:tc>
          <w:tcPr>
            <w:tcW w:w="2970" w:type="dxa"/>
          </w:tcPr>
          <w:p w14:paraId="16DE6B68" w14:textId="2E64BCDC" w:rsidR="002C2291" w:rsidRPr="00243E0D" w:rsidRDefault="002C2291">
            <w:r w:rsidRPr="00243E0D">
              <w:t>8</w:t>
            </w:r>
            <w:r w:rsidR="00A11AD6">
              <w:t>3</w:t>
            </w:r>
            <w:r w:rsidR="00597E8D" w:rsidRPr="00243E0D">
              <w:t xml:space="preserve"> (</w:t>
            </w:r>
            <w:r w:rsidR="00A11AD6">
              <w:t>8 of which were</w:t>
            </w:r>
            <w:r w:rsidR="00597E8D" w:rsidRPr="00243E0D">
              <w:t xml:space="preserve"> DE)</w:t>
            </w:r>
          </w:p>
        </w:tc>
      </w:tr>
      <w:tr w:rsidR="002C2291" w:rsidRPr="00243E0D" w14:paraId="07201E33" w14:textId="77777777" w:rsidTr="00A11AD6">
        <w:tc>
          <w:tcPr>
            <w:tcW w:w="1615" w:type="dxa"/>
          </w:tcPr>
          <w:p w14:paraId="5ABB58B1" w14:textId="4E246F52" w:rsidR="002C2291" w:rsidRPr="00243E0D" w:rsidRDefault="002C2291">
            <w:r w:rsidRPr="00243E0D">
              <w:t>102</w:t>
            </w:r>
          </w:p>
        </w:tc>
        <w:tc>
          <w:tcPr>
            <w:tcW w:w="2970" w:type="dxa"/>
          </w:tcPr>
          <w:p w14:paraId="604661BB" w14:textId="51CE09F2" w:rsidR="002C2291" w:rsidRPr="00243E0D" w:rsidRDefault="002C2291">
            <w:r w:rsidRPr="00243E0D">
              <w:t>10</w:t>
            </w:r>
            <w:r w:rsidR="00A11AD6">
              <w:t>7</w:t>
            </w:r>
            <w:r w:rsidR="00597E8D" w:rsidRPr="00243E0D">
              <w:t xml:space="preserve"> (</w:t>
            </w:r>
            <w:r w:rsidR="00A11AD6">
              <w:t>14 of which were</w:t>
            </w:r>
            <w:r w:rsidR="00597E8D" w:rsidRPr="00243E0D">
              <w:t xml:space="preserve"> DE)</w:t>
            </w:r>
          </w:p>
        </w:tc>
      </w:tr>
      <w:tr w:rsidR="002C2291" w:rsidRPr="00243E0D" w14:paraId="319316FF" w14:textId="77777777" w:rsidTr="00A11AD6">
        <w:tc>
          <w:tcPr>
            <w:tcW w:w="1615" w:type="dxa"/>
          </w:tcPr>
          <w:p w14:paraId="4A341E63" w14:textId="417EF499" w:rsidR="002C2291" w:rsidRPr="00243E0D" w:rsidRDefault="002C2291">
            <w:r w:rsidRPr="00243E0D">
              <w:t>105</w:t>
            </w:r>
          </w:p>
        </w:tc>
        <w:tc>
          <w:tcPr>
            <w:tcW w:w="2970" w:type="dxa"/>
          </w:tcPr>
          <w:p w14:paraId="4C7EA52A" w14:textId="5390E031" w:rsidR="002C2291" w:rsidRPr="00243E0D" w:rsidRDefault="00A11AD6">
            <w:r>
              <w:t>9</w:t>
            </w:r>
          </w:p>
        </w:tc>
      </w:tr>
      <w:tr w:rsidR="002C2291" w:rsidRPr="00243E0D" w14:paraId="6DA7BF2F" w14:textId="77777777" w:rsidTr="00A11AD6">
        <w:tc>
          <w:tcPr>
            <w:tcW w:w="1615" w:type="dxa"/>
          </w:tcPr>
          <w:p w14:paraId="5F4681DE" w14:textId="2F4F99C4" w:rsidR="002C2291" w:rsidRPr="00243E0D" w:rsidRDefault="002C2291">
            <w:r w:rsidRPr="00243E0D">
              <w:t>303</w:t>
            </w:r>
          </w:p>
        </w:tc>
        <w:tc>
          <w:tcPr>
            <w:tcW w:w="2970" w:type="dxa"/>
          </w:tcPr>
          <w:p w14:paraId="2EF0F9B1" w14:textId="24D81B9F" w:rsidR="002C2291" w:rsidRPr="00243E0D" w:rsidRDefault="00A11AD6">
            <w:r>
              <w:t>2</w:t>
            </w:r>
          </w:p>
        </w:tc>
      </w:tr>
      <w:tr w:rsidR="002C2291" w:rsidRPr="00243E0D" w14:paraId="27A96CE2" w14:textId="77777777" w:rsidTr="00A11AD6">
        <w:tc>
          <w:tcPr>
            <w:tcW w:w="1615" w:type="dxa"/>
          </w:tcPr>
          <w:p w14:paraId="58F01DCC" w14:textId="51D8ED2F" w:rsidR="002C2291" w:rsidRPr="00243E0D" w:rsidRDefault="002C2291">
            <w:r w:rsidRPr="00243E0D">
              <w:t>306</w:t>
            </w:r>
          </w:p>
        </w:tc>
        <w:tc>
          <w:tcPr>
            <w:tcW w:w="2970" w:type="dxa"/>
          </w:tcPr>
          <w:p w14:paraId="0EB3ED75" w14:textId="1EFA015F" w:rsidR="002C2291" w:rsidRPr="00243E0D" w:rsidRDefault="002C2291">
            <w:r w:rsidRPr="00243E0D">
              <w:t>2</w:t>
            </w:r>
            <w:r w:rsidR="00A11AD6">
              <w:t>0</w:t>
            </w:r>
            <w:r w:rsidR="00597E8D" w:rsidRPr="00243E0D">
              <w:t xml:space="preserve"> (</w:t>
            </w:r>
            <w:r w:rsidR="00A11AD6">
              <w:t>11 of which were</w:t>
            </w:r>
            <w:r w:rsidR="00597E8D" w:rsidRPr="00243E0D">
              <w:t xml:space="preserve"> DE)</w:t>
            </w:r>
          </w:p>
        </w:tc>
      </w:tr>
      <w:tr w:rsidR="002C2291" w:rsidRPr="00243E0D" w14:paraId="17C54FBF" w14:textId="77777777" w:rsidTr="00A11AD6">
        <w:tc>
          <w:tcPr>
            <w:tcW w:w="1615" w:type="dxa"/>
          </w:tcPr>
          <w:p w14:paraId="0B4257CA" w14:textId="1BEE3909" w:rsidR="002C2291" w:rsidRPr="00243E0D" w:rsidRDefault="002C2291">
            <w:r w:rsidRPr="00243E0D">
              <w:t>309</w:t>
            </w:r>
          </w:p>
        </w:tc>
        <w:tc>
          <w:tcPr>
            <w:tcW w:w="2970" w:type="dxa"/>
          </w:tcPr>
          <w:p w14:paraId="0B2EA6E5" w14:textId="18C7E8B6" w:rsidR="002C2291" w:rsidRPr="00243E0D" w:rsidRDefault="00A11AD6">
            <w:r>
              <w:t>3</w:t>
            </w:r>
          </w:p>
        </w:tc>
      </w:tr>
      <w:tr w:rsidR="002C2291" w:rsidRPr="00243E0D" w14:paraId="659B7766" w14:textId="77777777" w:rsidTr="00A11AD6">
        <w:tc>
          <w:tcPr>
            <w:tcW w:w="1615" w:type="dxa"/>
          </w:tcPr>
          <w:p w14:paraId="587968C2" w14:textId="0643926D" w:rsidR="002C2291" w:rsidRPr="00243E0D" w:rsidRDefault="002C2291">
            <w:r w:rsidRPr="00243E0D">
              <w:t>TOTAL</w:t>
            </w:r>
          </w:p>
        </w:tc>
        <w:tc>
          <w:tcPr>
            <w:tcW w:w="2970" w:type="dxa"/>
          </w:tcPr>
          <w:p w14:paraId="44B4C2A1" w14:textId="4CF71F90" w:rsidR="002C2291" w:rsidRPr="00243E0D" w:rsidRDefault="00A11AD6">
            <w:r>
              <w:t xml:space="preserve">224 </w:t>
            </w:r>
            <w:r w:rsidR="00597E8D" w:rsidRPr="00243E0D">
              <w:t>(</w:t>
            </w:r>
            <w:r>
              <w:t>33 of which were</w:t>
            </w:r>
            <w:r w:rsidR="00597E8D" w:rsidRPr="00243E0D">
              <w:t xml:space="preserve"> DE)</w:t>
            </w:r>
          </w:p>
        </w:tc>
      </w:tr>
    </w:tbl>
    <w:p w14:paraId="01F5C6A5" w14:textId="622A22CC" w:rsidR="000B75FB" w:rsidRPr="00243E0D" w:rsidRDefault="000B75FB" w:rsidP="000B75FB">
      <w:pPr>
        <w:rPr>
          <w:color w:val="FF0000"/>
        </w:rPr>
      </w:pPr>
    </w:p>
    <w:p w14:paraId="3A8C678B" w14:textId="2F827AE2" w:rsidR="000E1438" w:rsidRDefault="000E1438" w:rsidP="000B75FB">
      <w:pPr>
        <w:rPr>
          <w:b/>
          <w:bCs/>
          <w:i/>
          <w:iCs/>
          <w:color w:val="000000" w:themeColor="text1"/>
        </w:rPr>
      </w:pPr>
      <w:r>
        <w:rPr>
          <w:b/>
          <w:bCs/>
          <w:i/>
          <w:iCs/>
          <w:color w:val="000000" w:themeColor="text1"/>
        </w:rPr>
        <w:t>New Hires</w:t>
      </w:r>
    </w:p>
    <w:p w14:paraId="070BA5FC" w14:textId="343C26C3" w:rsidR="000E1438" w:rsidRPr="000E1438" w:rsidRDefault="000E1438" w:rsidP="000E1438">
      <w:r w:rsidRPr="000E1438">
        <w:rPr>
          <w:color w:val="000000" w:themeColor="text1"/>
        </w:rPr>
        <w:t xml:space="preserve">I hired six new part-time instructors (Dr. </w:t>
      </w:r>
      <w:r w:rsidRPr="000E1438">
        <w:rPr>
          <w:color w:val="000000"/>
        </w:rPr>
        <w:t>Carrie</w:t>
      </w:r>
      <w:r w:rsidRPr="000E1438">
        <w:rPr>
          <w:color w:val="000000"/>
        </w:rPr>
        <w:t xml:space="preserve"> </w:t>
      </w:r>
      <w:proofErr w:type="spellStart"/>
      <w:r w:rsidRPr="000E1438">
        <w:rPr>
          <w:color w:val="000000"/>
        </w:rPr>
        <w:t>Coaplen</w:t>
      </w:r>
      <w:proofErr w:type="spellEnd"/>
      <w:r w:rsidRPr="000E1438">
        <w:rPr>
          <w:color w:val="000000"/>
        </w:rPr>
        <w:t xml:space="preserve">, </w:t>
      </w:r>
      <w:r w:rsidRPr="000E1438">
        <w:rPr>
          <w:color w:val="000000"/>
        </w:rPr>
        <w:t xml:space="preserve">Dr. Dominic </w:t>
      </w:r>
      <w:r>
        <w:rPr>
          <w:color w:val="000000"/>
        </w:rPr>
        <w:t>Russ-Combs</w:t>
      </w:r>
      <w:r w:rsidRPr="000E1438">
        <w:rPr>
          <w:color w:val="000000"/>
        </w:rPr>
        <w:t xml:space="preserve">, </w:t>
      </w:r>
      <w:r w:rsidRPr="000E1438">
        <w:rPr>
          <w:color w:val="000000"/>
        </w:rPr>
        <w:t>Dr.</w:t>
      </w:r>
      <w:proofErr w:type="spellStart"/>
      <w:r w:rsidRPr="000E1438">
        <w:rPr>
          <w:color w:val="000000"/>
        </w:rPr>
        <w:t xml:space="preserve"> </w:t>
      </w:r>
      <w:r w:rsidRPr="000E1438">
        <w:rPr>
          <w:color w:val="000000"/>
        </w:rPr>
        <w:t>Hollye</w:t>
      </w:r>
      <w:proofErr w:type="spellEnd"/>
      <w:r w:rsidRPr="000E1438">
        <w:rPr>
          <w:color w:val="000000"/>
        </w:rPr>
        <w:t xml:space="preserve"> Wright</w:t>
      </w:r>
      <w:r w:rsidRPr="000E1438">
        <w:rPr>
          <w:color w:val="000000"/>
        </w:rPr>
        <w:t xml:space="preserve">, </w:t>
      </w:r>
      <w:r w:rsidRPr="000E1438">
        <w:rPr>
          <w:color w:val="000000"/>
        </w:rPr>
        <w:t xml:space="preserve">Dr. </w:t>
      </w:r>
      <w:r w:rsidRPr="000E1438">
        <w:rPr>
          <w:color w:val="000000"/>
        </w:rPr>
        <w:t>Kristie</w:t>
      </w:r>
      <w:r w:rsidRPr="000E1438">
        <w:rPr>
          <w:color w:val="000000"/>
        </w:rPr>
        <w:t xml:space="preserve"> </w:t>
      </w:r>
      <w:proofErr w:type="spellStart"/>
      <w:r>
        <w:rPr>
          <w:color w:val="000000"/>
        </w:rPr>
        <w:t>Hofelich</w:t>
      </w:r>
      <w:proofErr w:type="spellEnd"/>
      <w:r>
        <w:rPr>
          <w:color w:val="000000"/>
        </w:rPr>
        <w:t xml:space="preserve"> </w:t>
      </w:r>
      <w:r w:rsidRPr="000E1438">
        <w:rPr>
          <w:color w:val="000000"/>
        </w:rPr>
        <w:t>Ennis</w:t>
      </w:r>
      <w:r w:rsidRPr="000E1438">
        <w:rPr>
          <w:color w:val="000000"/>
        </w:rPr>
        <w:t>, Lana</w:t>
      </w:r>
      <w:r w:rsidRPr="000E1438">
        <w:rPr>
          <w:color w:val="000000"/>
        </w:rPr>
        <w:t xml:space="preserve"> Helm, and</w:t>
      </w:r>
      <w:r w:rsidRPr="000E1438">
        <w:rPr>
          <w:color w:val="000000"/>
        </w:rPr>
        <w:t xml:space="preserve"> Patrick</w:t>
      </w:r>
      <w:r w:rsidRPr="000E1438">
        <w:rPr>
          <w:color w:val="000000"/>
        </w:rPr>
        <w:t xml:space="preserve"> Wensink</w:t>
      </w:r>
      <w:r w:rsidRPr="000E1438">
        <w:rPr>
          <w:color w:val="000000"/>
        </w:rPr>
        <w:t>)</w:t>
      </w:r>
      <w:r w:rsidRPr="000E1438">
        <w:rPr>
          <w:color w:val="000000"/>
        </w:rPr>
        <w:t xml:space="preserve">. Additionally, two MA </w:t>
      </w:r>
      <w:r>
        <w:rPr>
          <w:color w:val="000000"/>
        </w:rPr>
        <w:t>graduates</w:t>
      </w:r>
      <w:r w:rsidRPr="000E1438">
        <w:rPr>
          <w:color w:val="000000"/>
        </w:rPr>
        <w:t xml:space="preserve"> and one PhD </w:t>
      </w:r>
      <w:proofErr w:type="spellStart"/>
      <w:r w:rsidRPr="000E1438">
        <w:rPr>
          <w:color w:val="000000"/>
        </w:rPr>
        <w:t>graduate c</w:t>
      </w:r>
      <w:proofErr w:type="spellEnd"/>
      <w:r w:rsidRPr="000E1438">
        <w:rPr>
          <w:color w:val="000000"/>
        </w:rPr>
        <w:t xml:space="preserve">ontinued as part-time instructors (Brent </w:t>
      </w:r>
      <w:proofErr w:type="spellStart"/>
      <w:r w:rsidRPr="000E1438">
        <w:rPr>
          <w:color w:val="000000"/>
        </w:rPr>
        <w:t>Coughenour</w:t>
      </w:r>
      <w:proofErr w:type="spellEnd"/>
      <w:r w:rsidRPr="000E1438">
        <w:rPr>
          <w:color w:val="000000"/>
        </w:rPr>
        <w:t>, Nicole Dugan, Dr. Michelle Day).</w:t>
      </w:r>
    </w:p>
    <w:p w14:paraId="6FFEA393" w14:textId="77777777" w:rsidR="000E1438" w:rsidRDefault="000E1438" w:rsidP="000B75FB">
      <w:pPr>
        <w:rPr>
          <w:b/>
          <w:bCs/>
          <w:i/>
          <w:iCs/>
          <w:color w:val="000000" w:themeColor="text1"/>
        </w:rPr>
      </w:pPr>
    </w:p>
    <w:p w14:paraId="3038B33A" w14:textId="632E102F" w:rsidR="000A3276" w:rsidRDefault="000A3276" w:rsidP="000B75FB">
      <w:pPr>
        <w:rPr>
          <w:b/>
          <w:bCs/>
          <w:i/>
          <w:iCs/>
          <w:color w:val="000000" w:themeColor="text1"/>
        </w:rPr>
      </w:pPr>
      <w:r>
        <w:rPr>
          <w:b/>
          <w:bCs/>
          <w:i/>
          <w:iCs/>
          <w:color w:val="000000" w:themeColor="text1"/>
        </w:rPr>
        <w:t xml:space="preserve">New </w:t>
      </w:r>
      <w:r w:rsidR="007E4A02">
        <w:rPr>
          <w:b/>
          <w:bCs/>
          <w:i/>
          <w:iCs/>
          <w:color w:val="000000" w:themeColor="text1"/>
        </w:rPr>
        <w:t xml:space="preserve">or Renewed </w:t>
      </w:r>
      <w:r>
        <w:rPr>
          <w:b/>
          <w:bCs/>
          <w:i/>
          <w:iCs/>
          <w:color w:val="000000" w:themeColor="text1"/>
        </w:rPr>
        <w:t>Initiatives</w:t>
      </w:r>
      <w:r w:rsidR="00583C48">
        <w:rPr>
          <w:b/>
          <w:bCs/>
          <w:i/>
          <w:iCs/>
          <w:color w:val="000000" w:themeColor="text1"/>
        </w:rPr>
        <w:t xml:space="preserve"> in Fall and Spring</w:t>
      </w:r>
    </w:p>
    <w:p w14:paraId="287694FC" w14:textId="77777777" w:rsidR="004E2B38" w:rsidRDefault="004E2B38" w:rsidP="000B75FB">
      <w:pPr>
        <w:rPr>
          <w:color w:val="000000" w:themeColor="text1"/>
        </w:rPr>
      </w:pPr>
    </w:p>
    <w:p w14:paraId="2CE1CDB3" w14:textId="77777777" w:rsidR="004E2B38" w:rsidRPr="004E2B38" w:rsidRDefault="004E2B38" w:rsidP="004E2B38">
      <w:pPr>
        <w:pStyle w:val="ListParagraph"/>
        <w:numPr>
          <w:ilvl w:val="0"/>
          <w:numId w:val="3"/>
        </w:numPr>
        <w:rPr>
          <w:rFonts w:ascii="Times New Roman" w:hAnsi="Times New Roman" w:cs="Times New Roman"/>
          <w:color w:val="000000" w:themeColor="text1"/>
        </w:rPr>
      </w:pPr>
      <w:r w:rsidRPr="004E2B38">
        <w:rPr>
          <w:rFonts w:ascii="Times New Roman" w:hAnsi="Times New Roman" w:cs="Times New Roman"/>
          <w:b/>
          <w:bCs/>
          <w:i/>
          <w:iCs/>
          <w:color w:val="000000" w:themeColor="text1"/>
        </w:rPr>
        <w:t>Cardinal Compositions</w:t>
      </w:r>
      <w:r w:rsidRPr="004E2B38">
        <w:rPr>
          <w:rFonts w:ascii="Times New Roman" w:hAnsi="Times New Roman" w:cs="Times New Roman"/>
          <w:b/>
          <w:bCs/>
          <w:color w:val="000000" w:themeColor="text1"/>
        </w:rPr>
        <w:t xml:space="preserve">: </w:t>
      </w:r>
      <w:r w:rsidR="005535DF" w:rsidRPr="004E2B38">
        <w:rPr>
          <w:rFonts w:ascii="Times New Roman" w:hAnsi="Times New Roman" w:cs="Times New Roman"/>
          <w:color w:val="000000" w:themeColor="text1"/>
        </w:rPr>
        <w:t xml:space="preserve">ADC </w:t>
      </w:r>
      <w:r w:rsidR="000A3276" w:rsidRPr="004E2B38">
        <w:rPr>
          <w:rFonts w:ascii="Times New Roman" w:hAnsi="Times New Roman" w:cs="Times New Roman"/>
          <w:color w:val="000000" w:themeColor="text1"/>
        </w:rPr>
        <w:t xml:space="preserve">Dakoda Smith restarted </w:t>
      </w:r>
      <w:hyperlink r:id="rId5" w:history="1">
        <w:r w:rsidR="000A3276" w:rsidRPr="004E2B38">
          <w:rPr>
            <w:rStyle w:val="Hyperlink"/>
            <w:rFonts w:ascii="Times New Roman" w:hAnsi="Times New Roman" w:cs="Times New Roman"/>
            <w:i/>
            <w:iCs/>
          </w:rPr>
          <w:t>Cardinal Compositions</w:t>
        </w:r>
      </w:hyperlink>
      <w:r w:rsidR="000A3276" w:rsidRPr="004E2B38">
        <w:rPr>
          <w:rFonts w:ascii="Times New Roman" w:hAnsi="Times New Roman" w:cs="Times New Roman"/>
          <w:color w:val="000000" w:themeColor="text1"/>
        </w:rPr>
        <w:t xml:space="preserve"> as an open-access journal through </w:t>
      </w:r>
      <w:proofErr w:type="spellStart"/>
      <w:r w:rsidR="000A3276" w:rsidRPr="004E2B38">
        <w:rPr>
          <w:rFonts w:ascii="Times New Roman" w:hAnsi="Times New Roman" w:cs="Times New Roman"/>
          <w:color w:val="000000" w:themeColor="text1"/>
        </w:rPr>
        <w:t>ThinkIR</w:t>
      </w:r>
      <w:proofErr w:type="spellEnd"/>
      <w:r w:rsidR="000A3276" w:rsidRPr="004E2B38">
        <w:rPr>
          <w:rFonts w:ascii="Times New Roman" w:hAnsi="Times New Roman" w:cs="Times New Roman"/>
          <w:color w:val="000000" w:themeColor="text1"/>
        </w:rPr>
        <w:t xml:space="preserve">. Dean Owen sponsored $150 stipends for editorial board members Brent </w:t>
      </w:r>
      <w:proofErr w:type="spellStart"/>
      <w:r w:rsidR="000A3276" w:rsidRPr="004E2B38">
        <w:rPr>
          <w:rFonts w:ascii="Times New Roman" w:hAnsi="Times New Roman" w:cs="Times New Roman"/>
          <w:color w:val="000000" w:themeColor="text1"/>
        </w:rPr>
        <w:t>Coughenour</w:t>
      </w:r>
      <w:proofErr w:type="spellEnd"/>
      <w:r w:rsidR="000A3276" w:rsidRPr="004E2B38">
        <w:rPr>
          <w:rFonts w:ascii="Times New Roman" w:hAnsi="Times New Roman" w:cs="Times New Roman"/>
          <w:color w:val="000000" w:themeColor="text1"/>
        </w:rPr>
        <w:t xml:space="preserve">, Brittany Smart, Olalekan </w:t>
      </w:r>
      <w:proofErr w:type="spellStart"/>
      <w:r w:rsidR="000A3276" w:rsidRPr="004E2B38">
        <w:rPr>
          <w:rFonts w:ascii="Times New Roman" w:hAnsi="Times New Roman" w:cs="Times New Roman"/>
          <w:color w:val="000000" w:themeColor="text1"/>
        </w:rPr>
        <w:t>Adepoju</w:t>
      </w:r>
      <w:proofErr w:type="spellEnd"/>
      <w:r w:rsidR="000A3276" w:rsidRPr="004E2B38">
        <w:rPr>
          <w:rFonts w:ascii="Times New Roman" w:hAnsi="Times New Roman" w:cs="Times New Roman"/>
          <w:color w:val="000000" w:themeColor="text1"/>
        </w:rPr>
        <w:t xml:space="preserve">, and Steve Smith to support Dakoda in this work. Ten student projects are published in this issue—from videos to research papers—as well as the assignment sheets for those projects and teaching suggestions. The cover was also designed by a UofL student. </w:t>
      </w:r>
    </w:p>
    <w:p w14:paraId="3EDF9D0C" w14:textId="77777777" w:rsidR="004E2B38" w:rsidRPr="004E2B38" w:rsidRDefault="004E2B38" w:rsidP="004E2B38">
      <w:pPr>
        <w:pStyle w:val="ListParagraph"/>
        <w:rPr>
          <w:rFonts w:ascii="Times New Roman" w:hAnsi="Times New Roman" w:cs="Times New Roman"/>
          <w:color w:val="000000" w:themeColor="text1"/>
        </w:rPr>
      </w:pPr>
    </w:p>
    <w:p w14:paraId="73B6D8DB" w14:textId="0D7E6390" w:rsidR="004E2B38" w:rsidRPr="004E2B38" w:rsidRDefault="004E2B38" w:rsidP="000B75FB">
      <w:pPr>
        <w:pStyle w:val="ListParagraph"/>
        <w:numPr>
          <w:ilvl w:val="0"/>
          <w:numId w:val="3"/>
        </w:numPr>
        <w:rPr>
          <w:rFonts w:ascii="Times New Roman" w:hAnsi="Times New Roman" w:cs="Times New Roman"/>
          <w:color w:val="000000" w:themeColor="text1"/>
        </w:rPr>
      </w:pPr>
      <w:r w:rsidRPr="004E2B38">
        <w:rPr>
          <w:rFonts w:ascii="Times New Roman" w:hAnsi="Times New Roman" w:cs="Times New Roman"/>
          <w:b/>
          <w:bCs/>
          <w:color w:val="000000" w:themeColor="text1"/>
        </w:rPr>
        <w:t xml:space="preserve">Online Writing Instruction Mini-Course: </w:t>
      </w:r>
      <w:r w:rsidR="005535DF" w:rsidRPr="004E2B38">
        <w:rPr>
          <w:rFonts w:ascii="Times New Roman" w:hAnsi="Times New Roman" w:cs="Times New Roman"/>
          <w:color w:val="000000" w:themeColor="text1"/>
        </w:rPr>
        <w:t>To better prepare composition instructors to teach DE classes, ADC C</w:t>
      </w:r>
      <w:r w:rsidR="0029230D" w:rsidRPr="004E2B38">
        <w:rPr>
          <w:rFonts w:ascii="Times New Roman" w:hAnsi="Times New Roman" w:cs="Times New Roman"/>
          <w:color w:val="000000" w:themeColor="text1"/>
        </w:rPr>
        <w:t>laire Jackson developed and facilitated a six-week asynchronous mini-course on online writing instruction</w:t>
      </w:r>
      <w:r w:rsidR="00AB5624" w:rsidRPr="004E2B38">
        <w:rPr>
          <w:rFonts w:ascii="Times New Roman" w:hAnsi="Times New Roman" w:cs="Times New Roman"/>
          <w:color w:val="000000" w:themeColor="text1"/>
        </w:rPr>
        <w:t xml:space="preserve"> (OWI)</w:t>
      </w:r>
      <w:r w:rsidR="005535DF" w:rsidRPr="004E2B38">
        <w:rPr>
          <w:rFonts w:ascii="Times New Roman" w:hAnsi="Times New Roman" w:cs="Times New Roman"/>
          <w:color w:val="000000" w:themeColor="text1"/>
        </w:rPr>
        <w:t xml:space="preserve">. Eleven instructors participated (2 PTLs, 3 MA students, 6 PhD students). </w:t>
      </w:r>
      <w:r w:rsidR="00AB5624" w:rsidRPr="004E2B38">
        <w:rPr>
          <w:rFonts w:ascii="Times New Roman" w:hAnsi="Times New Roman" w:cs="Times New Roman"/>
          <w:color w:val="000000" w:themeColor="text1"/>
        </w:rPr>
        <w:t>The mini-course covered OWI-specific information and activities (e.g., facilitating online discussions, responding to student writing, scaffolding writing assignments)</w:t>
      </w:r>
      <w:r w:rsidR="00AF0780">
        <w:rPr>
          <w:rFonts w:ascii="Times New Roman" w:hAnsi="Times New Roman" w:cs="Times New Roman"/>
          <w:color w:val="000000" w:themeColor="text1"/>
        </w:rPr>
        <w:t xml:space="preserve"> and also adapted material from Delphi U (Blackboard Basics; Accessibility)</w:t>
      </w:r>
      <w:r w:rsidR="00AB5624" w:rsidRPr="004E2B38">
        <w:rPr>
          <w:rFonts w:ascii="Times New Roman" w:hAnsi="Times New Roman" w:cs="Times New Roman"/>
          <w:color w:val="000000" w:themeColor="text1"/>
        </w:rPr>
        <w:t xml:space="preserve">. </w:t>
      </w:r>
      <w:r w:rsidRPr="004E2B38">
        <w:rPr>
          <w:rFonts w:ascii="Times New Roman" w:hAnsi="Times New Roman" w:cs="Times New Roman"/>
          <w:color w:val="000000" w:themeColor="text1"/>
        </w:rPr>
        <w:t>Participants</w:t>
      </w:r>
      <w:r w:rsidRPr="004E2B38">
        <w:rPr>
          <w:rFonts w:ascii="Times New Roman" w:hAnsi="Times New Roman" w:cs="Times New Roman"/>
          <w:color w:val="000000" w:themeColor="text1"/>
        </w:rPr>
        <w:t xml:space="preserve"> received a certificate upon completion</w:t>
      </w:r>
      <w:r w:rsidR="001069EA">
        <w:rPr>
          <w:rFonts w:ascii="Times New Roman" w:hAnsi="Times New Roman" w:cs="Times New Roman"/>
          <w:color w:val="000000" w:themeColor="text1"/>
        </w:rPr>
        <w:t>.</w:t>
      </w:r>
    </w:p>
    <w:p w14:paraId="48AA445E" w14:textId="77777777" w:rsidR="004E2B38" w:rsidRPr="004E2B38" w:rsidRDefault="004E2B38" w:rsidP="004E2B38">
      <w:pPr>
        <w:pStyle w:val="ListParagraph"/>
        <w:rPr>
          <w:rFonts w:ascii="Times New Roman" w:hAnsi="Times New Roman" w:cs="Times New Roman"/>
          <w:color w:val="000000" w:themeColor="text1"/>
        </w:rPr>
      </w:pPr>
    </w:p>
    <w:p w14:paraId="10ECE0D1" w14:textId="734D3352" w:rsidR="004E2B38" w:rsidRPr="004E2B38" w:rsidRDefault="004E2B38" w:rsidP="004E2B38">
      <w:pPr>
        <w:pStyle w:val="ListParagraph"/>
        <w:rPr>
          <w:rFonts w:ascii="Times New Roman" w:hAnsi="Times New Roman" w:cs="Times New Roman"/>
          <w:color w:val="000000" w:themeColor="text1"/>
        </w:rPr>
      </w:pPr>
      <w:r w:rsidRPr="004E2B38">
        <w:rPr>
          <w:rFonts w:ascii="Times New Roman" w:hAnsi="Times New Roman" w:cs="Times New Roman"/>
          <w:color w:val="000000" w:themeColor="text1"/>
        </w:rPr>
        <w:t xml:space="preserve">When UofL moved online in March 2020, we created a copy of the mini-course and gave access to any English faculty (as well as some faculty from other units) who were interested in the materials. We’ve continued to grant people access as they’ve planned their fall courses. </w:t>
      </w:r>
    </w:p>
    <w:p w14:paraId="7AFF7106" w14:textId="6F884DF6" w:rsidR="0029230D" w:rsidRDefault="0029230D" w:rsidP="000B75FB">
      <w:pPr>
        <w:rPr>
          <w:b/>
          <w:bCs/>
          <w:i/>
          <w:iCs/>
          <w:color w:val="000000" w:themeColor="text1"/>
        </w:rPr>
      </w:pPr>
    </w:p>
    <w:p w14:paraId="0355FA3D" w14:textId="71048F80" w:rsidR="007E4A02" w:rsidRDefault="007E4A02" w:rsidP="004E2B38">
      <w:pPr>
        <w:pStyle w:val="ListParagraph"/>
        <w:numPr>
          <w:ilvl w:val="0"/>
          <w:numId w:val="3"/>
        </w:numP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Composition Courses for Porter Scholars/Black Male Initiative Students:</w:t>
      </w:r>
      <w:r>
        <w:rPr>
          <w:rFonts w:ascii="Times New Roman" w:hAnsi="Times New Roman" w:cs="Times New Roman"/>
          <w:color w:val="000000" w:themeColor="text1"/>
        </w:rPr>
        <w:t xml:space="preserve"> </w:t>
      </w:r>
      <w:r w:rsidR="003F2F61">
        <w:rPr>
          <w:rFonts w:ascii="Times New Roman" w:hAnsi="Times New Roman" w:cs="Times New Roman"/>
          <w:color w:val="000000" w:themeColor="text1"/>
        </w:rPr>
        <w:t xml:space="preserve">We restarted a partnership begun by Dr. </w:t>
      </w:r>
      <w:proofErr w:type="spellStart"/>
      <w:r w:rsidR="003F2F61">
        <w:rPr>
          <w:rFonts w:ascii="Times New Roman" w:hAnsi="Times New Roman" w:cs="Times New Roman"/>
          <w:color w:val="000000" w:themeColor="text1"/>
        </w:rPr>
        <w:t>Khirsten</w:t>
      </w:r>
      <w:proofErr w:type="spellEnd"/>
      <w:r w:rsidR="003F2F61">
        <w:rPr>
          <w:rFonts w:ascii="Times New Roman" w:hAnsi="Times New Roman" w:cs="Times New Roman"/>
          <w:color w:val="000000" w:themeColor="text1"/>
        </w:rPr>
        <w:t xml:space="preserve"> Echols (PhD ’18) to connect 1-2 composition courses to the students in the Porter Scholars and Black Male Initiative Living-Learning communities. Joan D’Antoni and Anna-Stacia Haley taught sections of 102 in the sprin</w:t>
      </w:r>
      <w:r w:rsidR="00862E26">
        <w:rPr>
          <w:rFonts w:ascii="Times New Roman" w:hAnsi="Times New Roman" w:cs="Times New Roman"/>
          <w:color w:val="000000" w:themeColor="text1"/>
        </w:rPr>
        <w:t>g.</w:t>
      </w:r>
    </w:p>
    <w:p w14:paraId="57EC4D4C" w14:textId="77777777" w:rsidR="007E4A02" w:rsidRDefault="007E4A02" w:rsidP="007E4A02">
      <w:pPr>
        <w:pStyle w:val="ListParagraph"/>
        <w:rPr>
          <w:rFonts w:ascii="Times New Roman" w:hAnsi="Times New Roman" w:cs="Times New Roman"/>
          <w:b/>
          <w:bCs/>
          <w:color w:val="000000" w:themeColor="text1"/>
        </w:rPr>
      </w:pPr>
    </w:p>
    <w:p w14:paraId="5B23D54C" w14:textId="44BE5172" w:rsidR="004E2B38" w:rsidRPr="00781C9F" w:rsidRDefault="004E2B38" w:rsidP="004E2B38">
      <w:pPr>
        <w:pStyle w:val="ListParagraph"/>
        <w:numPr>
          <w:ilvl w:val="0"/>
          <w:numId w:val="3"/>
        </w:numPr>
        <w:rPr>
          <w:rFonts w:ascii="Times New Roman" w:hAnsi="Times New Roman" w:cs="Times New Roman"/>
          <w:b/>
          <w:bCs/>
          <w:color w:val="000000" w:themeColor="text1"/>
        </w:rPr>
      </w:pPr>
      <w:r w:rsidRPr="004E2B38">
        <w:rPr>
          <w:rFonts w:ascii="Times New Roman" w:hAnsi="Times New Roman" w:cs="Times New Roman"/>
          <w:b/>
          <w:bCs/>
          <w:color w:val="000000" w:themeColor="text1"/>
        </w:rPr>
        <w:t>Community-Building:</w:t>
      </w:r>
      <w:r w:rsidRPr="004E2B38">
        <w:rPr>
          <w:rFonts w:ascii="Times New Roman" w:hAnsi="Times New Roman" w:cs="Times New Roman"/>
          <w:color w:val="000000" w:themeColor="text1"/>
        </w:rPr>
        <w:t xml:space="preserve"> I hosted a fall kickoff s’mores party as well as a holiday party that included a pet photo competition and white elephant game. In weekly Comp News emails, I publicize</w:t>
      </w:r>
      <w:r w:rsidR="001069EA">
        <w:rPr>
          <w:rFonts w:ascii="Times New Roman" w:hAnsi="Times New Roman" w:cs="Times New Roman"/>
          <w:color w:val="000000" w:themeColor="text1"/>
        </w:rPr>
        <w:t>d</w:t>
      </w:r>
      <w:r w:rsidRPr="004E2B38">
        <w:rPr>
          <w:rFonts w:ascii="Times New Roman" w:hAnsi="Times New Roman" w:cs="Times New Roman"/>
          <w:color w:val="000000" w:themeColor="text1"/>
        </w:rPr>
        <w:t xml:space="preserve"> </w:t>
      </w:r>
      <w:r w:rsidR="000C305C">
        <w:rPr>
          <w:rFonts w:ascii="Times New Roman" w:hAnsi="Times New Roman" w:cs="Times New Roman"/>
          <w:color w:val="000000" w:themeColor="text1"/>
        </w:rPr>
        <w:t xml:space="preserve">instructors’ </w:t>
      </w:r>
      <w:r>
        <w:rPr>
          <w:rFonts w:ascii="Times New Roman" w:hAnsi="Times New Roman" w:cs="Times New Roman"/>
          <w:color w:val="000000" w:themeColor="text1"/>
        </w:rPr>
        <w:t xml:space="preserve">professional </w:t>
      </w:r>
      <w:r w:rsidR="000C305C">
        <w:rPr>
          <w:rFonts w:ascii="Times New Roman" w:hAnsi="Times New Roman" w:cs="Times New Roman"/>
          <w:color w:val="000000" w:themeColor="text1"/>
        </w:rPr>
        <w:t>accomplishments (</w:t>
      </w:r>
      <w:r>
        <w:rPr>
          <w:rFonts w:ascii="Times New Roman" w:hAnsi="Times New Roman" w:cs="Times New Roman"/>
          <w:color w:val="000000" w:themeColor="text1"/>
        </w:rPr>
        <w:t>and, with permission, personal</w:t>
      </w:r>
      <w:r w:rsidR="000C305C">
        <w:rPr>
          <w:rFonts w:ascii="Times New Roman" w:hAnsi="Times New Roman" w:cs="Times New Roman"/>
          <w:color w:val="000000" w:themeColor="text1"/>
        </w:rPr>
        <w:t xml:space="preserve"> milestones)</w:t>
      </w:r>
      <w:r>
        <w:rPr>
          <w:rFonts w:ascii="Times New Roman" w:hAnsi="Times New Roman" w:cs="Times New Roman"/>
          <w:color w:val="000000" w:themeColor="text1"/>
        </w:rPr>
        <w:t>.</w:t>
      </w:r>
      <w:r w:rsidRPr="004E2B38">
        <w:rPr>
          <w:rFonts w:ascii="Times New Roman" w:hAnsi="Times New Roman" w:cs="Times New Roman"/>
          <w:color w:val="000000" w:themeColor="text1"/>
        </w:rPr>
        <w:t xml:space="preserve"> </w:t>
      </w:r>
      <w:r w:rsidR="007E4A02">
        <w:rPr>
          <w:rFonts w:ascii="Times New Roman" w:hAnsi="Times New Roman" w:cs="Times New Roman"/>
          <w:color w:val="000000" w:themeColor="text1"/>
        </w:rPr>
        <w:t xml:space="preserve">I also updated the English Department’s “Our People” pages to include photos and bios for </w:t>
      </w:r>
      <w:hyperlink r:id="rId6" w:history="1">
        <w:r w:rsidR="007E4A02" w:rsidRPr="007E4A02">
          <w:rPr>
            <w:rStyle w:val="Hyperlink"/>
            <w:rFonts w:ascii="Times New Roman" w:hAnsi="Times New Roman" w:cs="Times New Roman"/>
          </w:rPr>
          <w:t>Part-Time Faculty</w:t>
        </w:r>
      </w:hyperlink>
      <w:r w:rsidR="007E4A02">
        <w:rPr>
          <w:rFonts w:ascii="Times New Roman" w:hAnsi="Times New Roman" w:cs="Times New Roman"/>
          <w:color w:val="000000" w:themeColor="text1"/>
        </w:rPr>
        <w:t xml:space="preserve"> and </w:t>
      </w:r>
      <w:hyperlink r:id="rId7" w:history="1">
        <w:r w:rsidR="007E4A02" w:rsidRPr="007E4A02">
          <w:rPr>
            <w:rStyle w:val="Hyperlink"/>
            <w:rFonts w:ascii="Times New Roman" w:hAnsi="Times New Roman" w:cs="Times New Roman"/>
          </w:rPr>
          <w:t>Dual-Credit Faculty</w:t>
        </w:r>
      </w:hyperlink>
      <w:r w:rsidR="007E4A02">
        <w:rPr>
          <w:rFonts w:ascii="Times New Roman" w:hAnsi="Times New Roman" w:cs="Times New Roman"/>
          <w:color w:val="000000" w:themeColor="text1"/>
        </w:rPr>
        <w:t xml:space="preserve">. </w:t>
      </w:r>
    </w:p>
    <w:p w14:paraId="5FEA99A8" w14:textId="77777777" w:rsidR="00781C9F" w:rsidRPr="00781C9F" w:rsidRDefault="00781C9F" w:rsidP="00781C9F">
      <w:pPr>
        <w:pStyle w:val="ListParagraph"/>
        <w:rPr>
          <w:rFonts w:ascii="Times New Roman" w:hAnsi="Times New Roman" w:cs="Times New Roman"/>
          <w:b/>
          <w:bCs/>
          <w:color w:val="000000" w:themeColor="text1"/>
        </w:rPr>
      </w:pPr>
    </w:p>
    <w:p w14:paraId="5EB604E0" w14:textId="40A7E882" w:rsidR="00483047" w:rsidRDefault="00483047" w:rsidP="004E2B38">
      <w:pPr>
        <w:pStyle w:val="ListParagraph"/>
        <w:numPr>
          <w:ilvl w:val="0"/>
          <w:numId w:val="3"/>
        </w:numPr>
        <w:rPr>
          <w:rFonts w:ascii="Times New Roman" w:hAnsi="Times New Roman" w:cs="Times New Roman"/>
          <w:b/>
          <w:bCs/>
          <w:color w:val="000000" w:themeColor="text1"/>
        </w:rPr>
      </w:pPr>
      <w:r w:rsidRPr="00483047">
        <w:rPr>
          <w:rFonts w:ascii="Times New Roman" w:hAnsi="Times New Roman" w:cs="Times New Roman"/>
          <w:b/>
          <w:bCs/>
          <w:color w:val="000000" w:themeColor="text1"/>
        </w:rPr>
        <w:t>PTL Promotion Guidance</w:t>
      </w:r>
      <w:r>
        <w:rPr>
          <w:rFonts w:ascii="Times New Roman" w:hAnsi="Times New Roman" w:cs="Times New Roman"/>
          <w:color w:val="000000" w:themeColor="text1"/>
        </w:rPr>
        <w:t xml:space="preserve">: After a presentation from the Faculty Salary committee at Faculty Assembly, we developed guidelines for PTLs going up for promotion to Senior Lecturer I and II. Five PTLs (four in the Composition Program) went up for promotion in the spring, and all were successful. </w:t>
      </w:r>
    </w:p>
    <w:p w14:paraId="07E5E36A" w14:textId="77777777" w:rsidR="00483047" w:rsidRPr="00483047" w:rsidRDefault="00483047" w:rsidP="00483047">
      <w:pPr>
        <w:pStyle w:val="ListParagraph"/>
        <w:rPr>
          <w:rFonts w:ascii="Times New Roman" w:hAnsi="Times New Roman" w:cs="Times New Roman"/>
          <w:b/>
          <w:bCs/>
          <w:color w:val="000000" w:themeColor="text1"/>
        </w:rPr>
      </w:pPr>
    </w:p>
    <w:p w14:paraId="38744793" w14:textId="32FE3EA5" w:rsidR="00781C9F" w:rsidRPr="007D2540" w:rsidRDefault="00781C9F" w:rsidP="004E2B38">
      <w:pPr>
        <w:pStyle w:val="ListParagraph"/>
        <w:numPr>
          <w:ilvl w:val="0"/>
          <w:numId w:val="3"/>
        </w:numPr>
        <w:rPr>
          <w:rFonts w:ascii="Times New Roman" w:hAnsi="Times New Roman" w:cs="Times New Roman"/>
          <w:b/>
          <w:bCs/>
          <w:color w:val="000000" w:themeColor="text1"/>
        </w:rPr>
      </w:pPr>
      <w:r>
        <w:rPr>
          <w:rFonts w:ascii="Times New Roman" w:hAnsi="Times New Roman" w:cs="Times New Roman"/>
          <w:b/>
          <w:bCs/>
          <w:color w:val="000000" w:themeColor="text1"/>
        </w:rPr>
        <w:t>Revision Policy</w:t>
      </w:r>
      <w:r>
        <w:rPr>
          <w:rFonts w:ascii="Times New Roman" w:hAnsi="Times New Roman" w:cs="Times New Roman"/>
          <w:color w:val="000000" w:themeColor="text1"/>
        </w:rPr>
        <w:t>: After a townhall meeting</w:t>
      </w:r>
      <w:r w:rsidR="007D2540">
        <w:rPr>
          <w:rFonts w:ascii="Times New Roman" w:hAnsi="Times New Roman" w:cs="Times New Roman"/>
          <w:color w:val="000000" w:themeColor="text1"/>
        </w:rPr>
        <w:t xml:space="preserve"> in spring 2020</w:t>
      </w:r>
      <w:r>
        <w:rPr>
          <w:rFonts w:ascii="Times New Roman" w:hAnsi="Times New Roman" w:cs="Times New Roman"/>
          <w:color w:val="000000" w:themeColor="text1"/>
        </w:rPr>
        <w:t xml:space="preserve">, we developed </w:t>
      </w:r>
      <w:r w:rsidR="007D2540">
        <w:rPr>
          <w:rFonts w:ascii="Times New Roman" w:hAnsi="Times New Roman" w:cs="Times New Roman"/>
          <w:color w:val="000000" w:themeColor="text1"/>
        </w:rPr>
        <w:t>the following</w:t>
      </w:r>
      <w:r>
        <w:rPr>
          <w:rFonts w:ascii="Times New Roman" w:hAnsi="Times New Roman" w:cs="Times New Roman"/>
          <w:color w:val="000000" w:themeColor="text1"/>
        </w:rPr>
        <w:t xml:space="preserve"> revision policy for instructors:</w:t>
      </w:r>
    </w:p>
    <w:p w14:paraId="76539589" w14:textId="681EA5C8" w:rsidR="007D2540" w:rsidRDefault="007D2540" w:rsidP="007D2540">
      <w:pPr>
        <w:rPr>
          <w:b/>
          <w:bCs/>
          <w:color w:val="000000" w:themeColor="text1"/>
        </w:rPr>
      </w:pPr>
    </w:p>
    <w:p w14:paraId="53442812" w14:textId="051EBA39" w:rsidR="007D2540" w:rsidRPr="007D2540" w:rsidRDefault="007D2540" w:rsidP="007D2540">
      <w:pPr>
        <w:ind w:left="720"/>
        <w:rPr>
          <w:i/>
          <w:iCs/>
        </w:rPr>
      </w:pPr>
      <w:r w:rsidRPr="007D2540">
        <w:rPr>
          <w:i/>
          <w:iCs/>
        </w:rPr>
        <w:t>Recognizing the importance of revision to writing development and the fact that peer feedback has purposes different from those of teacher feedback</w:t>
      </w:r>
      <w:r w:rsidRPr="007D2540">
        <w:rPr>
          <w:i/>
          <w:iCs/>
          <w:color w:val="0000FF"/>
          <w:u w:val="single"/>
        </w:rPr>
        <w:t>,</w:t>
      </w:r>
      <w:r w:rsidRPr="007D2540">
        <w:rPr>
          <w:rStyle w:val="apple-converted-space"/>
          <w:i/>
          <w:iCs/>
        </w:rPr>
        <w:t xml:space="preserve"> in spring 2020 </w:t>
      </w:r>
      <w:r w:rsidRPr="007D2540">
        <w:rPr>
          <w:i/>
          <w:iCs/>
        </w:rPr>
        <w:t>the Composition Program adopted the following teacher feedback and revision policy: All students must have the option to revise at least one project after receiving the teacher’s feedback and/or a grade. We encourage allowing revision on all projects that do not come near the end of the semester. As you craft your policy, consider the following factors:</w:t>
      </w:r>
    </w:p>
    <w:p w14:paraId="3A167182" w14:textId="77777777" w:rsidR="007D2540" w:rsidRPr="007D2540" w:rsidRDefault="007D2540" w:rsidP="007D2540">
      <w:pPr>
        <w:rPr>
          <w:i/>
          <w:iCs/>
        </w:rPr>
      </w:pPr>
    </w:p>
    <w:p w14:paraId="78C21A38" w14:textId="77777777" w:rsidR="007D2540" w:rsidRPr="007D2540" w:rsidRDefault="007D2540" w:rsidP="007D2540">
      <w:pPr>
        <w:numPr>
          <w:ilvl w:val="0"/>
          <w:numId w:val="4"/>
        </w:numPr>
        <w:rPr>
          <w:i/>
          <w:iCs/>
        </w:rPr>
      </w:pPr>
      <w:r w:rsidRPr="007D2540">
        <w:rPr>
          <w:i/>
          <w:iCs/>
        </w:rPr>
        <w:t>Will you require revision on all major projects or the ones not at the end of the semester, or will you make revision optional for one or more projects?</w:t>
      </w:r>
    </w:p>
    <w:p w14:paraId="4974D4D3" w14:textId="77777777" w:rsidR="007D2540" w:rsidRPr="007D2540" w:rsidRDefault="007D2540" w:rsidP="007D2540">
      <w:pPr>
        <w:pStyle w:val="ListParagraph"/>
        <w:numPr>
          <w:ilvl w:val="0"/>
          <w:numId w:val="4"/>
        </w:numPr>
        <w:contextualSpacing w:val="0"/>
        <w:rPr>
          <w:rFonts w:ascii="Times New Roman" w:hAnsi="Times New Roman" w:cs="Times New Roman"/>
          <w:i/>
          <w:iCs/>
        </w:rPr>
      </w:pPr>
      <w:r w:rsidRPr="007D2540">
        <w:rPr>
          <w:rFonts w:ascii="Times New Roman" w:hAnsi="Times New Roman" w:cs="Times New Roman"/>
          <w:i/>
          <w:iCs/>
        </w:rPr>
        <w:t>Will you require students to complete any tasks to support their revision? For example, they could submit a cover letter describing the changes they made, attend a writing center consultation, or conference with you about the revision in class or out of class.</w:t>
      </w:r>
    </w:p>
    <w:p w14:paraId="0C85BD7C" w14:textId="77777777" w:rsidR="007D2540" w:rsidRPr="007D2540" w:rsidRDefault="007D2540" w:rsidP="007D2540">
      <w:pPr>
        <w:pStyle w:val="ListParagraph"/>
        <w:numPr>
          <w:ilvl w:val="0"/>
          <w:numId w:val="4"/>
        </w:numPr>
        <w:contextualSpacing w:val="0"/>
        <w:rPr>
          <w:rFonts w:ascii="Times New Roman" w:hAnsi="Times New Roman" w:cs="Times New Roman"/>
          <w:i/>
          <w:iCs/>
        </w:rPr>
      </w:pPr>
      <w:r w:rsidRPr="007D2540">
        <w:rPr>
          <w:rFonts w:ascii="Times New Roman" w:hAnsi="Times New Roman" w:cs="Times New Roman"/>
          <w:i/>
          <w:iCs/>
        </w:rPr>
        <w:t>When will their revision be due? For example, they could submit it at a time of their choice, two weeks after they receive your feedback and/or grade, or at the end of the semester.</w:t>
      </w:r>
    </w:p>
    <w:p w14:paraId="7ACADB18" w14:textId="2D3605B5" w:rsidR="007D2540" w:rsidRPr="007D2540" w:rsidRDefault="007D2540" w:rsidP="007D2540">
      <w:pPr>
        <w:pStyle w:val="ListParagraph"/>
        <w:numPr>
          <w:ilvl w:val="0"/>
          <w:numId w:val="4"/>
        </w:numPr>
        <w:contextualSpacing w:val="0"/>
        <w:rPr>
          <w:rFonts w:ascii="Times New Roman" w:hAnsi="Times New Roman" w:cs="Times New Roman"/>
          <w:i/>
          <w:iCs/>
        </w:rPr>
      </w:pPr>
      <w:r w:rsidRPr="007D2540">
        <w:rPr>
          <w:rFonts w:ascii="Times New Roman" w:hAnsi="Times New Roman" w:cs="Times New Roman"/>
          <w:i/>
          <w:iCs/>
        </w:rPr>
        <w:t>If you assigned a grade, would the new grade replace the old one, or would it be averaged with the old one?</w:t>
      </w:r>
    </w:p>
    <w:p w14:paraId="7A5D7372" w14:textId="77777777" w:rsidR="004E2B38" w:rsidRPr="007D2540" w:rsidRDefault="004E2B38" w:rsidP="000B75FB">
      <w:pPr>
        <w:rPr>
          <w:b/>
          <w:bCs/>
          <w:i/>
          <w:iCs/>
          <w:color w:val="000000" w:themeColor="text1"/>
        </w:rPr>
      </w:pPr>
    </w:p>
    <w:p w14:paraId="0585DD41" w14:textId="4C708CCD" w:rsidR="00124AA3" w:rsidRPr="00243E0D" w:rsidRDefault="00124AA3" w:rsidP="000B75FB">
      <w:pPr>
        <w:rPr>
          <w:b/>
          <w:bCs/>
          <w:i/>
          <w:iCs/>
          <w:color w:val="000000" w:themeColor="text1"/>
        </w:rPr>
      </w:pPr>
      <w:r w:rsidRPr="00243E0D">
        <w:rPr>
          <w:b/>
          <w:bCs/>
          <w:i/>
          <w:iCs/>
          <w:color w:val="000000" w:themeColor="text1"/>
        </w:rPr>
        <w:t>Events and Professional Development</w:t>
      </w:r>
      <w:r w:rsidR="00583C48">
        <w:rPr>
          <w:b/>
          <w:bCs/>
          <w:i/>
          <w:iCs/>
          <w:color w:val="000000" w:themeColor="text1"/>
        </w:rPr>
        <w:t xml:space="preserve"> in Fall and Spring</w:t>
      </w:r>
    </w:p>
    <w:p w14:paraId="42E84F11" w14:textId="7F2FDAD2" w:rsidR="00082D5B" w:rsidRPr="00243E0D" w:rsidRDefault="00653DEA" w:rsidP="000B75FB">
      <w:pPr>
        <w:rPr>
          <w:color w:val="000000" w:themeColor="text1"/>
        </w:rPr>
      </w:pPr>
      <w:r>
        <w:rPr>
          <w:color w:val="000000" w:themeColor="text1"/>
        </w:rPr>
        <w:t xml:space="preserve">We hosted </w:t>
      </w:r>
      <w:r w:rsidR="000A3276">
        <w:rPr>
          <w:color w:val="000000" w:themeColor="text1"/>
        </w:rPr>
        <w:t xml:space="preserve">five workshops or other events, and we </w:t>
      </w:r>
      <w:r w:rsidR="009F6D4E">
        <w:rPr>
          <w:color w:val="000000" w:themeColor="text1"/>
        </w:rPr>
        <w:t>canceled</w:t>
      </w:r>
      <w:r w:rsidR="000A3276">
        <w:rPr>
          <w:color w:val="000000" w:themeColor="text1"/>
        </w:rPr>
        <w:t xml:space="preserve"> two because of COVID-19.</w:t>
      </w:r>
    </w:p>
    <w:p w14:paraId="64D68CFE" w14:textId="742CDF22" w:rsidR="00F125BC" w:rsidRPr="00243E0D" w:rsidRDefault="00F125BC" w:rsidP="00F125BC">
      <w:pPr>
        <w:pStyle w:val="ListParagraph"/>
        <w:numPr>
          <w:ilvl w:val="0"/>
          <w:numId w:val="1"/>
        </w:numPr>
        <w:rPr>
          <w:rFonts w:ascii="Times New Roman" w:hAnsi="Times New Roman" w:cs="Times New Roman"/>
          <w:color w:val="000000" w:themeColor="text1"/>
        </w:rPr>
      </w:pPr>
      <w:r w:rsidRPr="00243E0D">
        <w:rPr>
          <w:rFonts w:ascii="Times New Roman" w:hAnsi="Times New Roman" w:cs="Times New Roman"/>
          <w:color w:val="000000" w:themeColor="text1"/>
        </w:rPr>
        <w:t xml:space="preserve">Fall </w:t>
      </w:r>
      <w:r w:rsidR="006C02DC">
        <w:rPr>
          <w:rFonts w:ascii="Times New Roman" w:hAnsi="Times New Roman" w:cs="Times New Roman"/>
          <w:color w:val="000000" w:themeColor="text1"/>
        </w:rPr>
        <w:t>2019</w:t>
      </w:r>
    </w:p>
    <w:p w14:paraId="00E355E6" w14:textId="618C9B8E" w:rsidR="006C02DC" w:rsidRDefault="006C02DC" w:rsidP="006C02DC">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Mindful Composition (Jeb Herrin)</w:t>
      </w:r>
    </w:p>
    <w:p w14:paraId="6A3881CE" w14:textId="44CFD0B8" w:rsidR="006C02DC" w:rsidRDefault="006C02DC" w:rsidP="006C02DC">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Community Engagement in the Archives (Dakoda Smith)</w:t>
      </w:r>
    </w:p>
    <w:p w14:paraId="7387067F" w14:textId="0B0C60E9" w:rsidR="006C02DC" w:rsidRDefault="006C02DC" w:rsidP="006C02DC">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Meeting Microaggressions with </w:t>
      </w:r>
      <w:proofErr w:type="spellStart"/>
      <w:r>
        <w:rPr>
          <w:rFonts w:ascii="Times New Roman" w:hAnsi="Times New Roman" w:cs="Times New Roman"/>
          <w:color w:val="000000" w:themeColor="text1"/>
        </w:rPr>
        <w:t>Microresistance</w:t>
      </w:r>
      <w:proofErr w:type="spellEnd"/>
      <w:r>
        <w:rPr>
          <w:rFonts w:ascii="Times New Roman" w:hAnsi="Times New Roman" w:cs="Times New Roman"/>
          <w:color w:val="000000" w:themeColor="text1"/>
        </w:rPr>
        <w:t xml:space="preserve">: Ways to Support and Empower Students (Dr. Cynthia </w:t>
      </w:r>
      <w:proofErr w:type="spellStart"/>
      <w:r>
        <w:rPr>
          <w:rFonts w:ascii="Times New Roman" w:hAnsi="Times New Roman" w:cs="Times New Roman"/>
          <w:color w:val="000000" w:themeColor="text1"/>
        </w:rPr>
        <w:t>Ganote</w:t>
      </w:r>
      <w:proofErr w:type="spellEnd"/>
      <w:r>
        <w:rPr>
          <w:rFonts w:ascii="Times New Roman" w:hAnsi="Times New Roman" w:cs="Times New Roman"/>
          <w:color w:val="000000" w:themeColor="text1"/>
        </w:rPr>
        <w:t>, Assistant Dean for Diversity and Community Engagement)</w:t>
      </w:r>
    </w:p>
    <w:p w14:paraId="708FE450" w14:textId="5BB3196D" w:rsidR="005A0A74" w:rsidRPr="00243E0D" w:rsidRDefault="002C2291" w:rsidP="005A0A74">
      <w:pPr>
        <w:pStyle w:val="ListParagraph"/>
        <w:numPr>
          <w:ilvl w:val="0"/>
          <w:numId w:val="1"/>
        </w:numPr>
        <w:rPr>
          <w:rFonts w:ascii="Times New Roman" w:hAnsi="Times New Roman" w:cs="Times New Roman"/>
          <w:color w:val="000000" w:themeColor="text1"/>
        </w:rPr>
      </w:pPr>
      <w:r w:rsidRPr="00243E0D">
        <w:rPr>
          <w:rFonts w:ascii="Times New Roman" w:hAnsi="Times New Roman" w:cs="Times New Roman"/>
          <w:color w:val="000000" w:themeColor="text1"/>
        </w:rPr>
        <w:t>Spring</w:t>
      </w:r>
      <w:r w:rsidR="005A0A74" w:rsidRPr="00243E0D">
        <w:rPr>
          <w:rFonts w:ascii="Times New Roman" w:hAnsi="Times New Roman" w:cs="Times New Roman"/>
          <w:color w:val="000000" w:themeColor="text1"/>
        </w:rPr>
        <w:t xml:space="preserve"> </w:t>
      </w:r>
      <w:r w:rsidR="006C02DC">
        <w:rPr>
          <w:rFonts w:ascii="Times New Roman" w:hAnsi="Times New Roman" w:cs="Times New Roman"/>
          <w:color w:val="000000" w:themeColor="text1"/>
        </w:rPr>
        <w:t>2020</w:t>
      </w:r>
    </w:p>
    <w:p w14:paraId="02B23089" w14:textId="162E25CE" w:rsidR="002C2291" w:rsidRDefault="00653DEA" w:rsidP="005A0A74">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Townhall Meeting on Instructor Feedback Policy</w:t>
      </w:r>
    </w:p>
    <w:p w14:paraId="036D1333" w14:textId="0A030E2A" w:rsidR="00653DEA" w:rsidRDefault="00653DEA" w:rsidP="005A0A74">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Algorithmic Literacy in the Composition Classroom (Dr. Abby Koenig, Assistant Professor of Business Communication)</w:t>
      </w:r>
    </w:p>
    <w:p w14:paraId="32430A05" w14:textId="058EB3A2" w:rsidR="00653DEA" w:rsidRPr="00653DEA" w:rsidRDefault="00653DEA" w:rsidP="005A0A74">
      <w:pPr>
        <w:pStyle w:val="ListParagraph"/>
        <w:numPr>
          <w:ilvl w:val="1"/>
          <w:numId w:val="1"/>
        </w:numPr>
        <w:rPr>
          <w:rFonts w:ascii="Times New Roman" w:hAnsi="Times New Roman" w:cs="Times New Roman"/>
          <w:i/>
          <w:iCs/>
          <w:color w:val="000000" w:themeColor="text1"/>
        </w:rPr>
      </w:pPr>
      <w:r w:rsidRPr="00653DEA">
        <w:rPr>
          <w:rFonts w:ascii="Times New Roman" w:hAnsi="Times New Roman" w:cs="Times New Roman"/>
          <w:i/>
          <w:iCs/>
          <w:color w:val="000000" w:themeColor="text1"/>
        </w:rPr>
        <w:t>Canceled because of COVID-19</w:t>
      </w:r>
    </w:p>
    <w:p w14:paraId="4E8E1196" w14:textId="13AD7208" w:rsidR="00653DEA" w:rsidRDefault="00653DEA" w:rsidP="00653DEA">
      <w:pPr>
        <w:pStyle w:val="ListParagraph"/>
        <w:numPr>
          <w:ilvl w:val="2"/>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Composition Courses for Porter Scholars and Black Male Initiative Students (Joan D’Antoni, Anna-Stacia Haley, Brandyn Bailey, Dr. </w:t>
      </w:r>
      <w:proofErr w:type="spellStart"/>
      <w:r>
        <w:rPr>
          <w:rFonts w:ascii="Times New Roman" w:hAnsi="Times New Roman" w:cs="Times New Roman"/>
          <w:color w:val="000000" w:themeColor="text1"/>
        </w:rPr>
        <w:t>Khirsten</w:t>
      </w:r>
      <w:proofErr w:type="spellEnd"/>
      <w:r>
        <w:rPr>
          <w:rFonts w:ascii="Times New Roman" w:hAnsi="Times New Roman" w:cs="Times New Roman"/>
          <w:color w:val="000000" w:themeColor="text1"/>
        </w:rPr>
        <w:t xml:space="preserve"> Echols)</w:t>
      </w:r>
    </w:p>
    <w:p w14:paraId="7FFC6A3B" w14:textId="6C76113C" w:rsidR="00653DEA" w:rsidRDefault="00653DEA" w:rsidP="00653DEA">
      <w:pPr>
        <w:pStyle w:val="ListParagraph"/>
        <w:numPr>
          <w:ilvl w:val="2"/>
          <w:numId w:val="1"/>
        </w:numPr>
        <w:rPr>
          <w:rFonts w:ascii="Times New Roman" w:hAnsi="Times New Roman" w:cs="Times New Roman"/>
          <w:color w:val="000000" w:themeColor="text1"/>
        </w:rPr>
      </w:pPr>
      <w:r>
        <w:rPr>
          <w:rFonts w:ascii="Times New Roman" w:hAnsi="Times New Roman" w:cs="Times New Roman"/>
          <w:color w:val="000000" w:themeColor="text1"/>
        </w:rPr>
        <w:t>Publisher Bookfair</w:t>
      </w:r>
    </w:p>
    <w:p w14:paraId="6A04E67B" w14:textId="77777777" w:rsidR="000A3276" w:rsidRDefault="000A3276" w:rsidP="00653DEA">
      <w:pPr>
        <w:rPr>
          <w:color w:val="000000" w:themeColor="text1"/>
        </w:rPr>
      </w:pPr>
    </w:p>
    <w:p w14:paraId="08800C0F" w14:textId="3D866A60" w:rsidR="00653DEA" w:rsidRDefault="003B70A0" w:rsidP="00653DEA">
      <w:pPr>
        <w:rPr>
          <w:color w:val="000000" w:themeColor="text1"/>
        </w:rPr>
      </w:pPr>
      <w:r>
        <w:rPr>
          <w:color w:val="000000" w:themeColor="text1"/>
        </w:rPr>
        <w:t>ADC Jeb Herrin collaborated with Associate Dean Linda Fusilier to bring the</w:t>
      </w:r>
      <w:r w:rsidR="00653DEA">
        <w:rPr>
          <w:color w:val="000000" w:themeColor="text1"/>
        </w:rPr>
        <w:t xml:space="preserve"> C</w:t>
      </w:r>
      <w:r w:rsidR="000A3276">
        <w:rPr>
          <w:color w:val="000000" w:themeColor="text1"/>
        </w:rPr>
        <w:t>elebration of Student Writing</w:t>
      </w:r>
      <w:r>
        <w:rPr>
          <w:color w:val="000000" w:themeColor="text1"/>
        </w:rPr>
        <w:t xml:space="preserve"> under the auspices of the </w:t>
      </w:r>
      <w:hyperlink r:id="rId8" w:history="1">
        <w:r w:rsidRPr="003B70A0">
          <w:rPr>
            <w:rStyle w:val="Hyperlink"/>
          </w:rPr>
          <w:t>Undergraduate Arts and Research Showcase</w:t>
        </w:r>
      </w:hyperlink>
      <w:r>
        <w:rPr>
          <w:color w:val="000000" w:themeColor="text1"/>
        </w:rPr>
        <w:t xml:space="preserve">. The in-person event in March was canceled due to COVID-19, but students shared posters online. </w:t>
      </w:r>
      <w:r w:rsidR="007E4A02">
        <w:rPr>
          <w:color w:val="000000" w:themeColor="text1"/>
        </w:rPr>
        <w:t>No</w:t>
      </w:r>
      <w:r>
        <w:rPr>
          <w:color w:val="000000" w:themeColor="text1"/>
        </w:rPr>
        <w:t xml:space="preserve"> composition students participated</w:t>
      </w:r>
      <w:r w:rsidR="007E4A02">
        <w:rPr>
          <w:color w:val="000000" w:themeColor="text1"/>
        </w:rPr>
        <w:t xml:space="preserve"> this time, which is not surprising given that so much else was going on </w:t>
      </w:r>
      <w:r w:rsidR="002354B7">
        <w:rPr>
          <w:color w:val="000000" w:themeColor="text1"/>
        </w:rPr>
        <w:t>in the lives of</w:t>
      </w:r>
      <w:r w:rsidR="007E4A02">
        <w:rPr>
          <w:color w:val="000000" w:themeColor="text1"/>
        </w:rPr>
        <w:t xml:space="preserve"> both instructors and students. </w:t>
      </w:r>
    </w:p>
    <w:p w14:paraId="314EC772" w14:textId="364623A0" w:rsidR="000E1438" w:rsidRDefault="000E1438" w:rsidP="00653DEA">
      <w:pPr>
        <w:rPr>
          <w:color w:val="000000" w:themeColor="text1"/>
        </w:rPr>
      </w:pPr>
    </w:p>
    <w:p w14:paraId="3BD18858" w14:textId="035B0CAF" w:rsidR="000E1438" w:rsidRDefault="000E1438" w:rsidP="00653DEA">
      <w:pPr>
        <w:rPr>
          <w:color w:val="000000" w:themeColor="text1"/>
        </w:rPr>
      </w:pPr>
      <w:r>
        <w:rPr>
          <w:color w:val="000000" w:themeColor="text1"/>
        </w:rPr>
        <w:t xml:space="preserve">ADC Dakoda Smith started a Facebook group for composition instructors that serves as an active community, and PTL Dr. Kristie </w:t>
      </w:r>
      <w:proofErr w:type="spellStart"/>
      <w:r>
        <w:rPr>
          <w:color w:val="000000" w:themeColor="text1"/>
        </w:rPr>
        <w:t>Hofelich</w:t>
      </w:r>
      <w:proofErr w:type="spellEnd"/>
      <w:r>
        <w:rPr>
          <w:color w:val="000000" w:themeColor="text1"/>
        </w:rPr>
        <w:t xml:space="preserve"> Ennis </w:t>
      </w:r>
      <w:r w:rsidR="0070582F">
        <w:rPr>
          <w:color w:val="000000" w:themeColor="text1"/>
        </w:rPr>
        <w:t>started</w:t>
      </w:r>
      <w:r>
        <w:rPr>
          <w:color w:val="000000" w:themeColor="text1"/>
        </w:rPr>
        <w:t xml:space="preserve"> </w:t>
      </w:r>
      <w:r w:rsidR="0070582F">
        <w:rPr>
          <w:color w:val="000000" w:themeColor="text1"/>
        </w:rPr>
        <w:t xml:space="preserve">a professional learning community for </w:t>
      </w:r>
      <w:r>
        <w:rPr>
          <w:color w:val="000000" w:themeColor="text1"/>
        </w:rPr>
        <w:t xml:space="preserve">PTL, term, and dual-credit teachers. </w:t>
      </w:r>
    </w:p>
    <w:p w14:paraId="570251E4" w14:textId="0F0C7A23" w:rsidR="00483047" w:rsidRDefault="00483047" w:rsidP="00653DEA">
      <w:pPr>
        <w:rPr>
          <w:color w:val="000000" w:themeColor="text1"/>
        </w:rPr>
      </w:pPr>
    </w:p>
    <w:p w14:paraId="6CB6502D" w14:textId="2E58507D" w:rsidR="00483047" w:rsidRDefault="005A2C79" w:rsidP="00653DEA">
      <w:pPr>
        <w:rPr>
          <w:color w:val="000000" w:themeColor="text1"/>
        </w:rPr>
      </w:pPr>
      <w:r>
        <w:rPr>
          <w:color w:val="000000" w:themeColor="text1"/>
        </w:rPr>
        <w:t xml:space="preserve">Dr. </w:t>
      </w:r>
      <w:r w:rsidR="00483047">
        <w:rPr>
          <w:color w:val="000000" w:themeColor="text1"/>
        </w:rPr>
        <w:t>Glynis Ridley and I hosted an informational session for PTLs interested in going up for promotion.</w:t>
      </w:r>
    </w:p>
    <w:p w14:paraId="3DBED711" w14:textId="5D4D789F" w:rsidR="008952D4" w:rsidRDefault="008952D4" w:rsidP="00653DEA">
      <w:pPr>
        <w:rPr>
          <w:color w:val="000000" w:themeColor="text1"/>
        </w:rPr>
      </w:pPr>
    </w:p>
    <w:p w14:paraId="65DA50FE" w14:textId="195A1BD8" w:rsidR="00583C48" w:rsidRPr="00583C48" w:rsidRDefault="00583C48" w:rsidP="00653DEA">
      <w:pPr>
        <w:rPr>
          <w:b/>
          <w:bCs/>
          <w:i/>
          <w:iCs/>
          <w:color w:val="000000" w:themeColor="text1"/>
        </w:rPr>
      </w:pPr>
      <w:r w:rsidRPr="00583C48">
        <w:rPr>
          <w:b/>
          <w:bCs/>
          <w:i/>
          <w:iCs/>
          <w:color w:val="000000" w:themeColor="text1"/>
        </w:rPr>
        <w:t xml:space="preserve">Summer </w:t>
      </w:r>
      <w:r>
        <w:rPr>
          <w:b/>
          <w:bCs/>
          <w:i/>
          <w:iCs/>
          <w:color w:val="000000" w:themeColor="text1"/>
        </w:rPr>
        <w:t xml:space="preserve">2020 </w:t>
      </w:r>
      <w:r w:rsidRPr="00583C48">
        <w:rPr>
          <w:b/>
          <w:bCs/>
          <w:i/>
          <w:iCs/>
          <w:color w:val="000000" w:themeColor="text1"/>
        </w:rPr>
        <w:t>Work</w:t>
      </w:r>
    </w:p>
    <w:p w14:paraId="76A63DAF" w14:textId="77777777" w:rsidR="00583C48" w:rsidRPr="00583C48" w:rsidRDefault="00583C48" w:rsidP="006C02DC">
      <w:pPr>
        <w:pStyle w:val="ListParagraph"/>
        <w:numPr>
          <w:ilvl w:val="0"/>
          <w:numId w:val="8"/>
        </w:numPr>
        <w:rPr>
          <w:rFonts w:ascii="Times New Roman" w:hAnsi="Times New Roman" w:cs="Times New Roman"/>
          <w:color w:val="000000" w:themeColor="text1"/>
        </w:rPr>
      </w:pPr>
      <w:r w:rsidRPr="00583C48">
        <w:rPr>
          <w:rFonts w:ascii="Times New Roman" w:hAnsi="Times New Roman" w:cs="Times New Roman"/>
          <w:b/>
          <w:bCs/>
          <w:color w:val="000000" w:themeColor="text1"/>
        </w:rPr>
        <w:t>Ad-Hoc Instructor Support</w:t>
      </w:r>
      <w:r w:rsidRPr="00583C48">
        <w:rPr>
          <w:rFonts w:ascii="Times New Roman" w:hAnsi="Times New Roman" w:cs="Times New Roman"/>
          <w:color w:val="000000" w:themeColor="text1"/>
        </w:rPr>
        <w:t xml:space="preserve">: </w:t>
      </w:r>
      <w:r w:rsidR="004F5973" w:rsidRPr="00583C48">
        <w:rPr>
          <w:rFonts w:ascii="Times New Roman" w:hAnsi="Times New Roman" w:cs="Times New Roman"/>
          <w:color w:val="000000" w:themeColor="text1"/>
        </w:rPr>
        <w:t>Over the summer</w:t>
      </w:r>
      <w:r w:rsidR="008952D4" w:rsidRPr="00583C48">
        <w:rPr>
          <w:rFonts w:ascii="Times New Roman" w:hAnsi="Times New Roman" w:cs="Times New Roman"/>
          <w:color w:val="000000" w:themeColor="text1"/>
        </w:rPr>
        <w:t xml:space="preserve">, </w:t>
      </w:r>
      <w:r w:rsidR="001939EB" w:rsidRPr="00583C48">
        <w:rPr>
          <w:rFonts w:ascii="Times New Roman" w:hAnsi="Times New Roman" w:cs="Times New Roman"/>
          <w:color w:val="000000" w:themeColor="text1"/>
        </w:rPr>
        <w:t>I started</w:t>
      </w:r>
      <w:r w:rsidR="008952D4" w:rsidRPr="00583C48">
        <w:rPr>
          <w:rFonts w:ascii="Times New Roman" w:hAnsi="Times New Roman" w:cs="Times New Roman"/>
          <w:color w:val="000000" w:themeColor="text1"/>
        </w:rPr>
        <w:t xml:space="preserve"> a </w:t>
      </w:r>
      <w:r w:rsidR="004F5973" w:rsidRPr="00583C48">
        <w:rPr>
          <w:rFonts w:ascii="Times New Roman" w:hAnsi="Times New Roman" w:cs="Times New Roman"/>
          <w:color w:val="000000" w:themeColor="text1"/>
        </w:rPr>
        <w:t xml:space="preserve">crowdsourced resource of </w:t>
      </w:r>
      <w:hyperlink r:id="rId9" w:history="1">
        <w:r w:rsidR="004F5973" w:rsidRPr="00583C48">
          <w:rPr>
            <w:rStyle w:val="Hyperlink"/>
            <w:rFonts w:ascii="Times New Roman" w:hAnsi="Times New Roman" w:cs="Times New Roman"/>
          </w:rPr>
          <w:t>readings on racial justice for UofL composition courses</w:t>
        </w:r>
      </w:hyperlink>
      <w:r w:rsidR="004F5973" w:rsidRPr="00583C48">
        <w:rPr>
          <w:rFonts w:ascii="Times New Roman" w:hAnsi="Times New Roman" w:cs="Times New Roman"/>
          <w:color w:val="000000" w:themeColor="text1"/>
        </w:rPr>
        <w:t xml:space="preserve">, </w:t>
      </w:r>
      <w:r w:rsidR="001939EB" w:rsidRPr="00583C48">
        <w:rPr>
          <w:rFonts w:ascii="Times New Roman" w:hAnsi="Times New Roman" w:cs="Times New Roman"/>
          <w:color w:val="000000" w:themeColor="text1"/>
        </w:rPr>
        <w:t>and the ADCs and I collaborated on</w:t>
      </w:r>
      <w:r w:rsidR="004F5973" w:rsidRPr="00583C48">
        <w:rPr>
          <w:rFonts w:ascii="Times New Roman" w:hAnsi="Times New Roman" w:cs="Times New Roman"/>
          <w:color w:val="000000" w:themeColor="text1"/>
        </w:rPr>
        <w:t xml:space="preserve"> a handout to help</w:t>
      </w:r>
      <w:r w:rsidR="008952D4" w:rsidRPr="00583C48">
        <w:rPr>
          <w:rFonts w:ascii="Times New Roman" w:hAnsi="Times New Roman" w:cs="Times New Roman"/>
          <w:color w:val="000000" w:themeColor="text1"/>
        </w:rPr>
        <w:t xml:space="preserve"> hybrid instructors figure out how to distribute their 25% in-person time given that most cannot meet with their entire class at once.</w:t>
      </w:r>
    </w:p>
    <w:p w14:paraId="377EF814" w14:textId="0B2E3C7B" w:rsidR="00583C48" w:rsidRPr="00583C48" w:rsidRDefault="00583C48" w:rsidP="006C02DC">
      <w:pPr>
        <w:pStyle w:val="ListParagraph"/>
        <w:numPr>
          <w:ilvl w:val="0"/>
          <w:numId w:val="8"/>
        </w:numPr>
        <w:rPr>
          <w:rFonts w:ascii="Times New Roman" w:hAnsi="Times New Roman" w:cs="Times New Roman"/>
          <w:color w:val="000000" w:themeColor="text1"/>
        </w:rPr>
      </w:pPr>
      <w:r w:rsidRPr="00583C48">
        <w:rPr>
          <w:rFonts w:ascii="Times New Roman" w:hAnsi="Times New Roman" w:cs="Times New Roman"/>
          <w:b/>
          <w:bCs/>
          <w:color w:val="000000" w:themeColor="text1"/>
        </w:rPr>
        <w:t>Curriculum Development</w:t>
      </w:r>
      <w:r w:rsidRPr="00583C48">
        <w:rPr>
          <w:rFonts w:ascii="Times New Roman" w:hAnsi="Times New Roman" w:cs="Times New Roman"/>
          <w:color w:val="000000" w:themeColor="text1"/>
        </w:rPr>
        <w:t xml:space="preserve">: </w:t>
      </w:r>
      <w:r w:rsidR="00F84BEB" w:rsidRPr="00583C48">
        <w:rPr>
          <w:rFonts w:ascii="Times New Roman" w:hAnsi="Times New Roman" w:cs="Times New Roman"/>
          <w:color w:val="000000" w:themeColor="text1"/>
        </w:rPr>
        <w:t xml:space="preserve">Dr. Tim Johnson, who is teaching </w:t>
      </w:r>
      <w:proofErr w:type="spellStart"/>
      <w:r w:rsidR="00F84BEB" w:rsidRPr="00583C48">
        <w:rPr>
          <w:rFonts w:ascii="Times New Roman" w:hAnsi="Times New Roman" w:cs="Times New Roman"/>
          <w:color w:val="000000" w:themeColor="text1"/>
        </w:rPr>
        <w:t>Engl</w:t>
      </w:r>
      <w:proofErr w:type="spellEnd"/>
      <w:r w:rsidR="00F84BEB" w:rsidRPr="00583C48">
        <w:rPr>
          <w:rFonts w:ascii="Times New Roman" w:hAnsi="Times New Roman" w:cs="Times New Roman"/>
          <w:color w:val="000000" w:themeColor="text1"/>
        </w:rPr>
        <w:t xml:space="preserve"> 602 in Fall 2020, developed a </w:t>
      </w:r>
      <w:r w:rsidRPr="00583C48">
        <w:rPr>
          <w:rFonts w:ascii="Times New Roman" w:hAnsi="Times New Roman" w:cs="Times New Roman"/>
          <w:color w:val="000000" w:themeColor="text1"/>
        </w:rPr>
        <w:t xml:space="preserve">55-page </w:t>
      </w:r>
      <w:r w:rsidR="00F84BEB" w:rsidRPr="00583C48">
        <w:rPr>
          <w:rFonts w:ascii="Times New Roman" w:hAnsi="Times New Roman" w:cs="Times New Roman"/>
          <w:color w:val="000000" w:themeColor="text1"/>
        </w:rPr>
        <w:t xml:space="preserve">hybrid T-Th curriculum that </w:t>
      </w:r>
      <w:r w:rsidRPr="00583C48">
        <w:rPr>
          <w:rFonts w:ascii="Times New Roman" w:hAnsi="Times New Roman" w:cs="Times New Roman"/>
          <w:color w:val="000000" w:themeColor="text1"/>
        </w:rPr>
        <w:t>we</w:t>
      </w:r>
      <w:r w:rsidR="00F84BEB" w:rsidRPr="00583C48">
        <w:rPr>
          <w:rFonts w:ascii="Times New Roman" w:hAnsi="Times New Roman" w:cs="Times New Roman"/>
          <w:color w:val="000000" w:themeColor="text1"/>
        </w:rPr>
        <w:t xml:space="preserve"> adapted for hybrid MWF and DE sections and have introduced to the new GTAs. </w:t>
      </w:r>
    </w:p>
    <w:p w14:paraId="5DEB5BC4" w14:textId="6CA0C3AD" w:rsidR="006C02DC" w:rsidRPr="00583C48" w:rsidRDefault="00583C48" w:rsidP="006C02DC">
      <w:pPr>
        <w:pStyle w:val="ListParagraph"/>
        <w:numPr>
          <w:ilvl w:val="0"/>
          <w:numId w:val="8"/>
        </w:numPr>
        <w:rPr>
          <w:rFonts w:ascii="Times New Roman" w:hAnsi="Times New Roman" w:cs="Times New Roman"/>
          <w:color w:val="000000" w:themeColor="text1"/>
        </w:rPr>
      </w:pPr>
      <w:r w:rsidRPr="00583C48">
        <w:rPr>
          <w:rFonts w:ascii="Times New Roman" w:hAnsi="Times New Roman" w:cs="Times New Roman"/>
          <w:b/>
          <w:bCs/>
          <w:color w:val="000000" w:themeColor="text1"/>
        </w:rPr>
        <w:t>New GTA Orientation</w:t>
      </w:r>
      <w:r w:rsidRPr="00583C48">
        <w:rPr>
          <w:rFonts w:ascii="Times New Roman" w:hAnsi="Times New Roman" w:cs="Times New Roman"/>
          <w:color w:val="000000" w:themeColor="text1"/>
        </w:rPr>
        <w:t>: The ADCs and I</w:t>
      </w:r>
      <w:r w:rsidR="00F84BEB" w:rsidRPr="00583C48">
        <w:rPr>
          <w:rFonts w:ascii="Times New Roman" w:hAnsi="Times New Roman" w:cs="Times New Roman"/>
          <w:color w:val="000000" w:themeColor="text1"/>
        </w:rPr>
        <w:t xml:space="preserve"> expanded the orientation for new GTAs to two weeks</w:t>
      </w:r>
      <w:r w:rsidR="001939EB" w:rsidRPr="00583C48">
        <w:rPr>
          <w:rFonts w:ascii="Times New Roman" w:hAnsi="Times New Roman" w:cs="Times New Roman"/>
          <w:color w:val="000000" w:themeColor="text1"/>
        </w:rPr>
        <w:t xml:space="preserve"> (from two </w:t>
      </w:r>
      <w:r w:rsidRPr="00583C48">
        <w:rPr>
          <w:rFonts w:ascii="Times New Roman" w:hAnsi="Times New Roman" w:cs="Times New Roman"/>
          <w:color w:val="000000" w:themeColor="text1"/>
        </w:rPr>
        <w:t>3</w:t>
      </w:r>
      <w:r w:rsidR="001939EB" w:rsidRPr="00583C48">
        <w:rPr>
          <w:rFonts w:ascii="Times New Roman" w:hAnsi="Times New Roman" w:cs="Times New Roman"/>
          <w:color w:val="000000" w:themeColor="text1"/>
        </w:rPr>
        <w:t>-hour workshops)</w:t>
      </w:r>
      <w:r w:rsidR="00A42CB8" w:rsidRPr="00583C48">
        <w:rPr>
          <w:rFonts w:ascii="Times New Roman" w:hAnsi="Times New Roman" w:cs="Times New Roman"/>
          <w:color w:val="000000" w:themeColor="text1"/>
        </w:rPr>
        <w:t xml:space="preserve"> and included material from the OWI mini-course.</w:t>
      </w:r>
    </w:p>
    <w:p w14:paraId="2C8E100B" w14:textId="77777777" w:rsidR="00E33A3F" w:rsidRDefault="00583C48" w:rsidP="006C02DC">
      <w:pPr>
        <w:pStyle w:val="ListParagraph"/>
        <w:numPr>
          <w:ilvl w:val="0"/>
          <w:numId w:val="8"/>
        </w:numPr>
        <w:rPr>
          <w:rFonts w:ascii="Times New Roman" w:hAnsi="Times New Roman" w:cs="Times New Roman"/>
          <w:color w:val="000000" w:themeColor="text1"/>
        </w:rPr>
      </w:pPr>
      <w:r w:rsidRPr="00583C48">
        <w:rPr>
          <w:rFonts w:ascii="Times New Roman" w:hAnsi="Times New Roman" w:cs="Times New Roman"/>
          <w:b/>
          <w:bCs/>
          <w:color w:val="000000" w:themeColor="text1"/>
        </w:rPr>
        <w:t>Online Course Observations</w:t>
      </w:r>
      <w:r w:rsidRPr="00583C48">
        <w:rPr>
          <w:rFonts w:ascii="Times New Roman" w:hAnsi="Times New Roman" w:cs="Times New Roman"/>
          <w:color w:val="000000" w:themeColor="text1"/>
        </w:rPr>
        <w:t>: I developed a protocol for observing online courses and piloted it with two instructors this summer.</w:t>
      </w:r>
    </w:p>
    <w:p w14:paraId="72C4A1CD" w14:textId="1A719A6C" w:rsidR="006C02DC" w:rsidRPr="00E33A3F" w:rsidRDefault="00E33A3F" w:rsidP="0089460F">
      <w:pPr>
        <w:pStyle w:val="ListParagraph"/>
        <w:numPr>
          <w:ilvl w:val="0"/>
          <w:numId w:val="8"/>
        </w:numPr>
        <w:rPr>
          <w:color w:val="FF0000"/>
        </w:rPr>
      </w:pPr>
      <w:proofErr w:type="spellStart"/>
      <w:r w:rsidRPr="00E33A3F">
        <w:rPr>
          <w:rFonts w:ascii="Times New Roman" w:hAnsi="Times New Roman" w:cs="Times New Roman"/>
          <w:b/>
          <w:bCs/>
          <w:color w:val="000000" w:themeColor="text1"/>
        </w:rPr>
        <w:t>Plattus</w:t>
      </w:r>
      <w:proofErr w:type="spellEnd"/>
      <w:r w:rsidRPr="00E33A3F">
        <w:rPr>
          <w:rFonts w:ascii="Times New Roman" w:hAnsi="Times New Roman" w:cs="Times New Roman"/>
          <w:b/>
          <w:bCs/>
          <w:color w:val="000000" w:themeColor="text1"/>
        </w:rPr>
        <w:t xml:space="preserve"> and PTL Awards</w:t>
      </w:r>
      <w:r w:rsidRPr="00E33A3F">
        <w:rPr>
          <w:rFonts w:ascii="Times New Roman" w:hAnsi="Times New Roman" w:cs="Times New Roman"/>
          <w:color w:val="000000" w:themeColor="text1"/>
        </w:rPr>
        <w:t>: Members of the composition committee reviewed materials for both awards</w:t>
      </w:r>
      <w:r>
        <w:rPr>
          <w:rFonts w:ascii="Times New Roman" w:hAnsi="Times New Roman" w:cs="Times New Roman"/>
          <w:color w:val="000000" w:themeColor="text1"/>
        </w:rPr>
        <w:t xml:space="preserve"> and awarded two </w:t>
      </w:r>
      <w:proofErr w:type="spellStart"/>
      <w:r>
        <w:rPr>
          <w:rFonts w:ascii="Times New Roman" w:hAnsi="Times New Roman" w:cs="Times New Roman"/>
          <w:color w:val="000000" w:themeColor="text1"/>
        </w:rPr>
        <w:t>Plattus</w:t>
      </w:r>
      <w:proofErr w:type="spellEnd"/>
      <w:r>
        <w:rPr>
          <w:rFonts w:ascii="Times New Roman" w:hAnsi="Times New Roman" w:cs="Times New Roman"/>
          <w:color w:val="000000" w:themeColor="text1"/>
        </w:rPr>
        <w:t xml:space="preserve"> awards and two PTL awards.</w:t>
      </w:r>
      <w:r w:rsidRPr="00E33A3F">
        <w:rPr>
          <w:rFonts w:ascii="Times New Roman" w:hAnsi="Times New Roman" w:cs="Times New Roman"/>
          <w:color w:val="000000" w:themeColor="text1"/>
        </w:rPr>
        <w:t xml:space="preserve"> </w:t>
      </w:r>
    </w:p>
    <w:p w14:paraId="418E817A" w14:textId="77777777" w:rsidR="00E33A3F" w:rsidRPr="00E33A3F" w:rsidRDefault="00E33A3F" w:rsidP="00E33A3F">
      <w:pPr>
        <w:pStyle w:val="ListParagraph"/>
        <w:rPr>
          <w:color w:val="FF0000"/>
        </w:rPr>
      </w:pPr>
    </w:p>
    <w:p w14:paraId="368AD200" w14:textId="77777777" w:rsidR="00F84BEB" w:rsidRDefault="00597E8D" w:rsidP="000B75FB">
      <w:pPr>
        <w:rPr>
          <w:b/>
          <w:bCs/>
          <w:i/>
          <w:iCs/>
          <w:color w:val="000000" w:themeColor="text1"/>
        </w:rPr>
      </w:pPr>
      <w:r w:rsidRPr="00243E0D">
        <w:rPr>
          <w:b/>
          <w:bCs/>
          <w:i/>
          <w:iCs/>
          <w:color w:val="000000" w:themeColor="text1"/>
        </w:rPr>
        <w:t>Looking Ahead to AY</w:t>
      </w:r>
      <w:r w:rsidR="00F84BEB">
        <w:rPr>
          <w:b/>
          <w:bCs/>
          <w:i/>
          <w:iCs/>
          <w:color w:val="000000" w:themeColor="text1"/>
        </w:rPr>
        <w:t>20-21</w:t>
      </w:r>
    </w:p>
    <w:p w14:paraId="4FCF1DA2" w14:textId="3C3E2128" w:rsidR="00EC5C21" w:rsidRPr="00F84BEB" w:rsidRDefault="000B75FB" w:rsidP="000B75FB">
      <w:pPr>
        <w:rPr>
          <w:b/>
          <w:bCs/>
          <w:i/>
          <w:iCs/>
          <w:color w:val="000000" w:themeColor="text1"/>
        </w:rPr>
      </w:pPr>
      <w:r w:rsidRPr="00243E0D">
        <w:t>This year, the ADCs are</w:t>
      </w:r>
      <w:r w:rsidR="003316A0" w:rsidRPr="00243E0D">
        <w:t xml:space="preserve"> Dakoda Smith, </w:t>
      </w:r>
      <w:r w:rsidR="00F84BEB">
        <w:t>Brittany Smart, and Lauren Fusilier.</w:t>
      </w:r>
      <w:r w:rsidRPr="00243E0D">
        <w:t xml:space="preserve"> </w:t>
      </w:r>
    </w:p>
    <w:p w14:paraId="095092D2" w14:textId="77777777" w:rsidR="00082D5B" w:rsidRPr="00243E0D" w:rsidRDefault="00082D5B" w:rsidP="000B75FB"/>
    <w:p w14:paraId="133CAC3F" w14:textId="66E1E6AB" w:rsidR="000B75FB" w:rsidRPr="00243E0D" w:rsidRDefault="00082D5B" w:rsidP="000B75FB">
      <w:r w:rsidRPr="00243E0D">
        <w:t xml:space="preserve">We are offering </w:t>
      </w:r>
      <w:r w:rsidR="00483047">
        <w:t>109 sections</w:t>
      </w:r>
      <w:r w:rsidRPr="00243E0D">
        <w:t xml:space="preserve"> in </w:t>
      </w:r>
      <w:r w:rsidR="000B75FB" w:rsidRPr="00243E0D">
        <w:t xml:space="preserve">Fall </w:t>
      </w:r>
      <w:r w:rsidR="00367495" w:rsidRPr="00243E0D">
        <w:t>2019</w:t>
      </w:r>
      <w:r w:rsidR="00483047">
        <w:t>, a decrease of 13 courses.</w:t>
      </w:r>
    </w:p>
    <w:tbl>
      <w:tblPr>
        <w:tblStyle w:val="TableGrid"/>
        <w:tblW w:w="0" w:type="auto"/>
        <w:tblLook w:val="04A0" w:firstRow="1" w:lastRow="0" w:firstColumn="1" w:lastColumn="0" w:noHBand="0" w:noVBand="1"/>
      </w:tblPr>
      <w:tblGrid>
        <w:gridCol w:w="1615"/>
        <w:gridCol w:w="1890"/>
        <w:gridCol w:w="1890"/>
      </w:tblGrid>
      <w:tr w:rsidR="00977F55" w:rsidRPr="00483047" w14:paraId="2B7F4451" w14:textId="2EF5DC47" w:rsidTr="003C6E82">
        <w:tc>
          <w:tcPr>
            <w:tcW w:w="1615" w:type="dxa"/>
          </w:tcPr>
          <w:p w14:paraId="67C78B7D" w14:textId="77777777" w:rsidR="00977F55" w:rsidRPr="00483047" w:rsidRDefault="00977F55" w:rsidP="00F4461E">
            <w:pPr>
              <w:rPr>
                <w:b/>
                <w:bCs/>
              </w:rPr>
            </w:pPr>
            <w:r w:rsidRPr="00483047">
              <w:rPr>
                <w:b/>
                <w:bCs/>
              </w:rPr>
              <w:lastRenderedPageBreak/>
              <w:t>Course</w:t>
            </w:r>
          </w:p>
        </w:tc>
        <w:tc>
          <w:tcPr>
            <w:tcW w:w="1890" w:type="dxa"/>
          </w:tcPr>
          <w:p w14:paraId="6D3F2BC6" w14:textId="77777777" w:rsidR="00977F55" w:rsidRPr="00483047" w:rsidRDefault="00977F55" w:rsidP="00F4461E">
            <w:pPr>
              <w:rPr>
                <w:b/>
                <w:bCs/>
              </w:rPr>
            </w:pPr>
            <w:r w:rsidRPr="00483047">
              <w:rPr>
                <w:b/>
                <w:bCs/>
              </w:rPr>
              <w:t xml:space="preserve">Number of Sections </w:t>
            </w:r>
          </w:p>
        </w:tc>
        <w:tc>
          <w:tcPr>
            <w:tcW w:w="1890" w:type="dxa"/>
          </w:tcPr>
          <w:p w14:paraId="29105DF2" w14:textId="33170A04" w:rsidR="00977F55" w:rsidRPr="00483047" w:rsidRDefault="00977F55" w:rsidP="00F4461E">
            <w:pPr>
              <w:rPr>
                <w:b/>
                <w:bCs/>
              </w:rPr>
            </w:pPr>
            <w:r w:rsidRPr="00483047">
              <w:rPr>
                <w:b/>
                <w:bCs/>
              </w:rPr>
              <w:t>Difference from Fall 2019</w:t>
            </w:r>
          </w:p>
        </w:tc>
      </w:tr>
      <w:tr w:rsidR="00977F55" w:rsidRPr="00483047" w14:paraId="142692F2" w14:textId="73F0D1B2" w:rsidTr="003C6E82">
        <w:tc>
          <w:tcPr>
            <w:tcW w:w="1615" w:type="dxa"/>
          </w:tcPr>
          <w:p w14:paraId="7B41C0CF" w14:textId="4E372CC7" w:rsidR="00977F55" w:rsidRPr="00483047" w:rsidRDefault="00977F55" w:rsidP="00F4461E">
            <w:r w:rsidRPr="00483047">
              <w:t>101</w:t>
            </w:r>
          </w:p>
        </w:tc>
        <w:tc>
          <w:tcPr>
            <w:tcW w:w="1890" w:type="dxa"/>
          </w:tcPr>
          <w:p w14:paraId="248EC4F4" w14:textId="5C13BFFB" w:rsidR="00977F55" w:rsidRPr="00483047" w:rsidRDefault="00483047" w:rsidP="00F4461E">
            <w:r w:rsidRPr="00483047">
              <w:t>61</w:t>
            </w:r>
          </w:p>
        </w:tc>
        <w:tc>
          <w:tcPr>
            <w:tcW w:w="1890" w:type="dxa"/>
          </w:tcPr>
          <w:p w14:paraId="78A9901F" w14:textId="26B4C321" w:rsidR="00977F55" w:rsidRPr="00483047" w:rsidRDefault="00483047" w:rsidP="00F4461E">
            <w:r w:rsidRPr="00483047">
              <w:t>-9</w:t>
            </w:r>
            <w:r w:rsidR="00977F55" w:rsidRPr="00483047">
              <w:t xml:space="preserve"> courses </w:t>
            </w:r>
          </w:p>
        </w:tc>
      </w:tr>
      <w:tr w:rsidR="00977F55" w:rsidRPr="00483047" w14:paraId="60C96815" w14:textId="1C0AFC36" w:rsidTr="003C6E82">
        <w:tc>
          <w:tcPr>
            <w:tcW w:w="1615" w:type="dxa"/>
          </w:tcPr>
          <w:p w14:paraId="5556D464" w14:textId="57E1E043" w:rsidR="00977F55" w:rsidRPr="00483047" w:rsidRDefault="00977F55" w:rsidP="00F4461E">
            <w:r w:rsidRPr="00483047">
              <w:t>102</w:t>
            </w:r>
          </w:p>
        </w:tc>
        <w:tc>
          <w:tcPr>
            <w:tcW w:w="1890" w:type="dxa"/>
          </w:tcPr>
          <w:p w14:paraId="7F1EEF25" w14:textId="6FF5C5B0" w:rsidR="00977F55" w:rsidRPr="00483047" w:rsidRDefault="00977F55" w:rsidP="00F4461E">
            <w:r w:rsidRPr="00483047">
              <w:t>3</w:t>
            </w:r>
            <w:r w:rsidR="00483047" w:rsidRPr="00483047">
              <w:t>0</w:t>
            </w:r>
            <w:r w:rsidRPr="00483047">
              <w:t xml:space="preserve"> </w:t>
            </w:r>
          </w:p>
        </w:tc>
        <w:tc>
          <w:tcPr>
            <w:tcW w:w="1890" w:type="dxa"/>
          </w:tcPr>
          <w:p w14:paraId="6C7A5C56" w14:textId="7FAEA0A7" w:rsidR="00977F55" w:rsidRPr="00483047" w:rsidRDefault="00483047" w:rsidP="00F4461E">
            <w:r w:rsidRPr="00483047">
              <w:t>-3</w:t>
            </w:r>
          </w:p>
        </w:tc>
      </w:tr>
      <w:tr w:rsidR="00977F55" w:rsidRPr="00483047" w14:paraId="0BFB4627" w14:textId="2D353C57" w:rsidTr="003C6E82">
        <w:tc>
          <w:tcPr>
            <w:tcW w:w="1615" w:type="dxa"/>
          </w:tcPr>
          <w:p w14:paraId="4AA75B5F" w14:textId="79F71020" w:rsidR="00977F55" w:rsidRPr="00483047" w:rsidRDefault="00977F55" w:rsidP="00F4461E">
            <w:r w:rsidRPr="00483047">
              <w:t>105</w:t>
            </w:r>
          </w:p>
        </w:tc>
        <w:tc>
          <w:tcPr>
            <w:tcW w:w="1890" w:type="dxa"/>
          </w:tcPr>
          <w:p w14:paraId="116933F7" w14:textId="64784FB8" w:rsidR="00977F55" w:rsidRPr="00483047" w:rsidRDefault="00483047" w:rsidP="00F4461E">
            <w:r w:rsidRPr="00483047">
              <w:t>8</w:t>
            </w:r>
          </w:p>
        </w:tc>
        <w:tc>
          <w:tcPr>
            <w:tcW w:w="1890" w:type="dxa"/>
          </w:tcPr>
          <w:p w14:paraId="6E589B10" w14:textId="213C7081" w:rsidR="00977F55" w:rsidRPr="00483047" w:rsidRDefault="00483047" w:rsidP="00F4461E">
            <w:r w:rsidRPr="00483047">
              <w:t>+1</w:t>
            </w:r>
          </w:p>
        </w:tc>
      </w:tr>
      <w:tr w:rsidR="00977F55" w:rsidRPr="00483047" w14:paraId="35688E44" w14:textId="58419D43" w:rsidTr="003C6E82">
        <w:tc>
          <w:tcPr>
            <w:tcW w:w="1615" w:type="dxa"/>
          </w:tcPr>
          <w:p w14:paraId="7802A67D" w14:textId="02E5975C" w:rsidR="00977F55" w:rsidRPr="00483047" w:rsidRDefault="00977F55" w:rsidP="00F4461E">
            <w:r w:rsidRPr="00483047">
              <w:t>303</w:t>
            </w:r>
          </w:p>
        </w:tc>
        <w:tc>
          <w:tcPr>
            <w:tcW w:w="1890" w:type="dxa"/>
          </w:tcPr>
          <w:p w14:paraId="18BA129B" w14:textId="3CEC5B7F" w:rsidR="00977F55" w:rsidRPr="00483047" w:rsidRDefault="00977F55" w:rsidP="00F4461E">
            <w:r w:rsidRPr="00483047">
              <w:t>1</w:t>
            </w:r>
          </w:p>
        </w:tc>
        <w:tc>
          <w:tcPr>
            <w:tcW w:w="1890" w:type="dxa"/>
          </w:tcPr>
          <w:p w14:paraId="683AF545" w14:textId="1181A163" w:rsidR="00977F55" w:rsidRPr="00483047" w:rsidRDefault="00483047" w:rsidP="00F4461E">
            <w:r w:rsidRPr="00483047">
              <w:t>--</w:t>
            </w:r>
          </w:p>
        </w:tc>
      </w:tr>
      <w:tr w:rsidR="00977F55" w:rsidRPr="00483047" w14:paraId="00BAF6B2" w14:textId="38E0416B" w:rsidTr="003C6E82">
        <w:tc>
          <w:tcPr>
            <w:tcW w:w="1615" w:type="dxa"/>
          </w:tcPr>
          <w:p w14:paraId="07CA2520" w14:textId="2B62172E" w:rsidR="00977F55" w:rsidRPr="00483047" w:rsidRDefault="00977F55" w:rsidP="00F4461E">
            <w:r w:rsidRPr="00483047">
              <w:t>306</w:t>
            </w:r>
          </w:p>
        </w:tc>
        <w:tc>
          <w:tcPr>
            <w:tcW w:w="1890" w:type="dxa"/>
          </w:tcPr>
          <w:p w14:paraId="70FEF99D" w14:textId="08E5D3BC" w:rsidR="00977F55" w:rsidRPr="00483047" w:rsidRDefault="00483047" w:rsidP="00F4461E">
            <w:r w:rsidRPr="00483047">
              <w:t>8</w:t>
            </w:r>
          </w:p>
        </w:tc>
        <w:tc>
          <w:tcPr>
            <w:tcW w:w="1890" w:type="dxa"/>
          </w:tcPr>
          <w:p w14:paraId="0E3A6830" w14:textId="216B1F30" w:rsidR="00977F55" w:rsidRPr="00483047" w:rsidRDefault="00483047" w:rsidP="00F4461E">
            <w:r w:rsidRPr="00483047">
              <w:t>-2</w:t>
            </w:r>
          </w:p>
        </w:tc>
      </w:tr>
      <w:tr w:rsidR="00977F55" w:rsidRPr="00243E0D" w14:paraId="484968AD" w14:textId="71BBA365" w:rsidTr="003C6E82">
        <w:tc>
          <w:tcPr>
            <w:tcW w:w="1615" w:type="dxa"/>
          </w:tcPr>
          <w:p w14:paraId="0358EAE3" w14:textId="2116450D" w:rsidR="00977F55" w:rsidRPr="00483047" w:rsidRDefault="00977F55" w:rsidP="00F4461E">
            <w:r w:rsidRPr="00483047">
              <w:t>309</w:t>
            </w:r>
          </w:p>
        </w:tc>
        <w:tc>
          <w:tcPr>
            <w:tcW w:w="1890" w:type="dxa"/>
          </w:tcPr>
          <w:p w14:paraId="0537C9E7" w14:textId="6E63C030" w:rsidR="00977F55" w:rsidRPr="00483047" w:rsidRDefault="00977F55" w:rsidP="00F4461E">
            <w:r w:rsidRPr="00483047">
              <w:t>1</w:t>
            </w:r>
          </w:p>
        </w:tc>
        <w:tc>
          <w:tcPr>
            <w:tcW w:w="1890" w:type="dxa"/>
          </w:tcPr>
          <w:p w14:paraId="46784F1B" w14:textId="4440406A" w:rsidR="00977F55" w:rsidRPr="00483047" w:rsidRDefault="00483047" w:rsidP="00F4461E">
            <w:r w:rsidRPr="00483047">
              <w:t>--</w:t>
            </w:r>
          </w:p>
        </w:tc>
      </w:tr>
    </w:tbl>
    <w:p w14:paraId="168378BF" w14:textId="0A7CD873" w:rsidR="000B75FB" w:rsidRPr="00243E0D" w:rsidRDefault="000B75FB" w:rsidP="000B75FB"/>
    <w:p w14:paraId="35A69D10" w14:textId="77777777" w:rsidR="00583C48" w:rsidRDefault="00F155F0" w:rsidP="00006EE1">
      <w:r w:rsidRPr="00243E0D">
        <w:t>We will be</w:t>
      </w:r>
      <w:r w:rsidR="00006EE1">
        <w:t xml:space="preserve"> organizing pedagogy workshops, publishing another issue of </w:t>
      </w:r>
      <w:r w:rsidR="00006EE1">
        <w:rPr>
          <w:i/>
          <w:iCs/>
        </w:rPr>
        <w:t>Cardinal Compositions</w:t>
      </w:r>
      <w:r w:rsidR="00006EE1">
        <w:t xml:space="preserve">, rethinking how to support instructors in online writing instruction, and producing the Celebration of Student Writing under the auspices of the Arts and Research Showcase. </w:t>
      </w:r>
    </w:p>
    <w:p w14:paraId="7474067D" w14:textId="77777777" w:rsidR="00583C48" w:rsidRDefault="00583C48" w:rsidP="00006EE1"/>
    <w:p w14:paraId="2313C410" w14:textId="61D99526" w:rsidR="00006EE1" w:rsidRDefault="00006EE1" w:rsidP="00006EE1">
      <w:r>
        <w:t xml:space="preserve">We will also </w:t>
      </w:r>
      <w:r w:rsidR="00583C48">
        <w:t xml:space="preserve">begin </w:t>
      </w:r>
      <w:r w:rsidR="0087045A">
        <w:t xml:space="preserve">planning for and </w:t>
      </w:r>
      <w:r w:rsidR="000119DD">
        <w:t>hosting</w:t>
      </w:r>
      <w:r w:rsidR="00583C48">
        <w:t xml:space="preserve"> events on </w:t>
      </w:r>
      <w:r>
        <w:t xml:space="preserve">anti-racist writing instruction, in light of the </w:t>
      </w:r>
      <w:r w:rsidR="005B438B">
        <w:t>relevant</w:t>
      </w:r>
      <w:r>
        <w:t xml:space="preserve"> commitments in the </w:t>
      </w:r>
      <w:hyperlink r:id="rId10" w:history="1">
        <w:r w:rsidRPr="00006EE1">
          <w:rPr>
            <w:rStyle w:val="Hyperlink"/>
          </w:rPr>
          <w:t>English Department’s Commitment to Antiracist Action in Support of Black Lives</w:t>
        </w:r>
      </w:hyperlink>
      <w:r w:rsidR="005B438B">
        <w:t>.</w:t>
      </w:r>
    </w:p>
    <w:p w14:paraId="57885781" w14:textId="77777777" w:rsidR="005B438B" w:rsidRDefault="005B438B" w:rsidP="000B75FB"/>
    <w:p w14:paraId="340D230F" w14:textId="733BC884" w:rsidR="00082D5B" w:rsidRPr="00243E0D" w:rsidRDefault="000119DD" w:rsidP="000B75FB">
      <w:r>
        <w:t>Lastly, we plan to revise the protocol for online course observations and update the “</w:t>
      </w:r>
      <w:hyperlink r:id="rId11" w:history="1">
        <w:r w:rsidRPr="000119DD">
          <w:rPr>
            <w:rStyle w:val="Hyperlink"/>
          </w:rPr>
          <w:t>e-files</w:t>
        </w:r>
      </w:hyperlink>
      <w:r>
        <w:t>” or develop a new place to house and share instructor materials.</w:t>
      </w:r>
    </w:p>
    <w:p w14:paraId="74CD01B5" w14:textId="4E9C3BCF" w:rsidR="0071039E" w:rsidRPr="00243E0D" w:rsidRDefault="0071039E" w:rsidP="000B75FB">
      <w:r w:rsidRPr="00243E0D">
        <w:tab/>
      </w:r>
      <w:r w:rsidRPr="00243E0D">
        <w:tab/>
      </w:r>
      <w:r w:rsidRPr="00243E0D">
        <w:tab/>
      </w:r>
      <w:r w:rsidRPr="00243E0D">
        <w:tab/>
      </w:r>
      <w:r w:rsidRPr="00243E0D">
        <w:tab/>
      </w:r>
    </w:p>
    <w:p w14:paraId="3987C68B" w14:textId="77777777" w:rsidR="0071039E" w:rsidRPr="00243E0D" w:rsidRDefault="0071039E" w:rsidP="000B75FB"/>
    <w:p w14:paraId="28D89F09" w14:textId="77777777" w:rsidR="0071039E" w:rsidRPr="00243E0D" w:rsidRDefault="0071039E" w:rsidP="000B75FB"/>
    <w:p w14:paraId="1959DC43" w14:textId="77777777" w:rsidR="000B75FB" w:rsidRPr="00243E0D" w:rsidRDefault="0071039E" w:rsidP="000B75FB">
      <w:r w:rsidRPr="00243E0D">
        <w:tab/>
      </w:r>
      <w:r w:rsidRPr="00243E0D">
        <w:tab/>
      </w:r>
      <w:r w:rsidRPr="00243E0D">
        <w:tab/>
      </w:r>
      <w:r w:rsidRPr="00243E0D">
        <w:tab/>
      </w:r>
      <w:r w:rsidRPr="00243E0D">
        <w:tab/>
      </w:r>
      <w:r w:rsidRPr="00243E0D">
        <w:tab/>
      </w:r>
      <w:r w:rsidRPr="00243E0D">
        <w:tab/>
      </w:r>
    </w:p>
    <w:p w14:paraId="2763AE77" w14:textId="77777777" w:rsidR="000B75FB" w:rsidRPr="00243E0D" w:rsidRDefault="000B75FB" w:rsidP="000B75FB"/>
    <w:p w14:paraId="3628C095" w14:textId="77777777" w:rsidR="000B75FB" w:rsidRPr="00243E0D" w:rsidRDefault="000B75FB" w:rsidP="000B75FB"/>
    <w:p w14:paraId="5470D431" w14:textId="77777777" w:rsidR="000B75FB" w:rsidRPr="00243E0D" w:rsidRDefault="000B75FB" w:rsidP="000B75FB"/>
    <w:p w14:paraId="07894142" w14:textId="77777777" w:rsidR="000B75FB" w:rsidRPr="00243E0D" w:rsidRDefault="000B75FB" w:rsidP="000B75FB"/>
    <w:p w14:paraId="37993235" w14:textId="77777777" w:rsidR="000B75FB" w:rsidRPr="00243E0D" w:rsidRDefault="000B75FB" w:rsidP="000B75FB">
      <w:pPr>
        <w:ind w:firstLine="720"/>
      </w:pPr>
    </w:p>
    <w:sectPr w:rsidR="000B75FB" w:rsidRPr="00243E0D" w:rsidSect="000D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05E"/>
    <w:multiLevelType w:val="multilevel"/>
    <w:tmpl w:val="D67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0C8B"/>
    <w:multiLevelType w:val="hybridMultilevel"/>
    <w:tmpl w:val="E8B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4735"/>
    <w:multiLevelType w:val="multilevel"/>
    <w:tmpl w:val="207C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67F9C"/>
    <w:multiLevelType w:val="hybridMultilevel"/>
    <w:tmpl w:val="26120614"/>
    <w:lvl w:ilvl="0" w:tplc="65E8E5B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F2CBD"/>
    <w:multiLevelType w:val="hybridMultilevel"/>
    <w:tmpl w:val="DC42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85BDB"/>
    <w:multiLevelType w:val="hybridMultilevel"/>
    <w:tmpl w:val="766C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E3E03"/>
    <w:multiLevelType w:val="hybridMultilevel"/>
    <w:tmpl w:val="934EA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9B74E4"/>
    <w:multiLevelType w:val="multilevel"/>
    <w:tmpl w:val="540E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FB"/>
    <w:rsid w:val="00006EE1"/>
    <w:rsid w:val="000119DD"/>
    <w:rsid w:val="000226F4"/>
    <w:rsid w:val="00075906"/>
    <w:rsid w:val="00082D5B"/>
    <w:rsid w:val="000A3276"/>
    <w:rsid w:val="000B75FB"/>
    <w:rsid w:val="000C305C"/>
    <w:rsid w:val="000D6138"/>
    <w:rsid w:val="000E1438"/>
    <w:rsid w:val="001069EA"/>
    <w:rsid w:val="00124AA3"/>
    <w:rsid w:val="001939EB"/>
    <w:rsid w:val="002354B7"/>
    <w:rsid w:val="00243E0D"/>
    <w:rsid w:val="0029230D"/>
    <w:rsid w:val="002C2291"/>
    <w:rsid w:val="003316A0"/>
    <w:rsid w:val="00367495"/>
    <w:rsid w:val="003B70A0"/>
    <w:rsid w:val="003F2F61"/>
    <w:rsid w:val="00483047"/>
    <w:rsid w:val="004E2B38"/>
    <w:rsid w:val="004F5973"/>
    <w:rsid w:val="005535DF"/>
    <w:rsid w:val="00583C48"/>
    <w:rsid w:val="00597E8D"/>
    <w:rsid w:val="005A0A74"/>
    <w:rsid w:val="005A2C79"/>
    <w:rsid w:val="005B438B"/>
    <w:rsid w:val="005B776C"/>
    <w:rsid w:val="00653DEA"/>
    <w:rsid w:val="006C02DC"/>
    <w:rsid w:val="0070582F"/>
    <w:rsid w:val="0071039E"/>
    <w:rsid w:val="00781C9F"/>
    <w:rsid w:val="007D2540"/>
    <w:rsid w:val="007E4A02"/>
    <w:rsid w:val="007F5671"/>
    <w:rsid w:val="00862E26"/>
    <w:rsid w:val="0087045A"/>
    <w:rsid w:val="0088456B"/>
    <w:rsid w:val="008952D4"/>
    <w:rsid w:val="00900F7C"/>
    <w:rsid w:val="00977F55"/>
    <w:rsid w:val="00987CFB"/>
    <w:rsid w:val="009B4F87"/>
    <w:rsid w:val="009F6D4E"/>
    <w:rsid w:val="00A11AD6"/>
    <w:rsid w:val="00A42CB8"/>
    <w:rsid w:val="00A96B99"/>
    <w:rsid w:val="00AA1FE8"/>
    <w:rsid w:val="00AB5624"/>
    <w:rsid w:val="00AF0780"/>
    <w:rsid w:val="00AF1F08"/>
    <w:rsid w:val="00B762D7"/>
    <w:rsid w:val="00C46CD3"/>
    <w:rsid w:val="00CA28F7"/>
    <w:rsid w:val="00E33A3F"/>
    <w:rsid w:val="00EC5C21"/>
    <w:rsid w:val="00F125BC"/>
    <w:rsid w:val="00F155F0"/>
    <w:rsid w:val="00F6118C"/>
    <w:rsid w:val="00F8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3F73C"/>
  <w14:defaultImageDpi w14:val="300"/>
  <w15:docId w15:val="{5A1E6986-70AA-6B47-8B3B-EBA93718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291"/>
    <w:pPr>
      <w:spacing w:before="100" w:beforeAutospacing="1" w:after="100" w:afterAutospacing="1"/>
    </w:pPr>
  </w:style>
  <w:style w:type="table" w:styleId="TableGrid">
    <w:name w:val="Table Grid"/>
    <w:basedOn w:val="TableNormal"/>
    <w:uiPriority w:val="59"/>
    <w:rsid w:val="002C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5B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0A3276"/>
    <w:rPr>
      <w:color w:val="0000FF" w:themeColor="hyperlink"/>
      <w:u w:val="single"/>
    </w:rPr>
  </w:style>
  <w:style w:type="character" w:styleId="UnresolvedMention">
    <w:name w:val="Unresolved Mention"/>
    <w:basedOn w:val="DefaultParagraphFont"/>
    <w:uiPriority w:val="99"/>
    <w:semiHidden/>
    <w:unhideWhenUsed/>
    <w:rsid w:val="000A3276"/>
    <w:rPr>
      <w:color w:val="605E5C"/>
      <w:shd w:val="clear" w:color="auto" w:fill="E1DFDD"/>
    </w:rPr>
  </w:style>
  <w:style w:type="character" w:customStyle="1" w:styleId="apple-converted-space">
    <w:name w:val="apple-converted-space"/>
    <w:basedOn w:val="DefaultParagraphFont"/>
    <w:rsid w:val="007D2540"/>
  </w:style>
  <w:style w:type="character" w:styleId="Strong">
    <w:name w:val="Strong"/>
    <w:basedOn w:val="DefaultParagraphFont"/>
    <w:uiPriority w:val="22"/>
    <w:qFormat/>
    <w:rsid w:val="00006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0717">
      <w:bodyDiv w:val="1"/>
      <w:marLeft w:val="0"/>
      <w:marRight w:val="0"/>
      <w:marTop w:val="0"/>
      <w:marBottom w:val="0"/>
      <w:divBdr>
        <w:top w:val="none" w:sz="0" w:space="0" w:color="auto"/>
        <w:left w:val="none" w:sz="0" w:space="0" w:color="auto"/>
        <w:bottom w:val="none" w:sz="0" w:space="0" w:color="auto"/>
        <w:right w:val="none" w:sz="0" w:space="0" w:color="auto"/>
      </w:divBdr>
    </w:div>
    <w:div w:id="519664918">
      <w:bodyDiv w:val="1"/>
      <w:marLeft w:val="0"/>
      <w:marRight w:val="0"/>
      <w:marTop w:val="0"/>
      <w:marBottom w:val="0"/>
      <w:divBdr>
        <w:top w:val="none" w:sz="0" w:space="0" w:color="auto"/>
        <w:left w:val="none" w:sz="0" w:space="0" w:color="auto"/>
        <w:bottom w:val="none" w:sz="0" w:space="0" w:color="auto"/>
        <w:right w:val="none" w:sz="0" w:space="0" w:color="auto"/>
      </w:divBdr>
    </w:div>
    <w:div w:id="972323128">
      <w:bodyDiv w:val="1"/>
      <w:marLeft w:val="0"/>
      <w:marRight w:val="0"/>
      <w:marTop w:val="0"/>
      <w:marBottom w:val="0"/>
      <w:divBdr>
        <w:top w:val="none" w:sz="0" w:space="0" w:color="auto"/>
        <w:left w:val="none" w:sz="0" w:space="0" w:color="auto"/>
        <w:bottom w:val="none" w:sz="0" w:space="0" w:color="auto"/>
        <w:right w:val="none" w:sz="0" w:space="0" w:color="auto"/>
      </w:divBdr>
    </w:div>
    <w:div w:id="1066413028">
      <w:bodyDiv w:val="1"/>
      <w:marLeft w:val="0"/>
      <w:marRight w:val="0"/>
      <w:marTop w:val="0"/>
      <w:marBottom w:val="0"/>
      <w:divBdr>
        <w:top w:val="none" w:sz="0" w:space="0" w:color="auto"/>
        <w:left w:val="none" w:sz="0" w:space="0" w:color="auto"/>
        <w:bottom w:val="none" w:sz="0" w:space="0" w:color="auto"/>
        <w:right w:val="none" w:sz="0" w:space="0" w:color="auto"/>
      </w:divBdr>
    </w:div>
    <w:div w:id="1145003713">
      <w:bodyDiv w:val="1"/>
      <w:marLeft w:val="0"/>
      <w:marRight w:val="0"/>
      <w:marTop w:val="0"/>
      <w:marBottom w:val="0"/>
      <w:divBdr>
        <w:top w:val="none" w:sz="0" w:space="0" w:color="auto"/>
        <w:left w:val="none" w:sz="0" w:space="0" w:color="auto"/>
        <w:bottom w:val="none" w:sz="0" w:space="0" w:color="auto"/>
        <w:right w:val="none" w:sz="0" w:space="0" w:color="auto"/>
      </w:divBdr>
    </w:div>
    <w:div w:id="1319382473">
      <w:bodyDiv w:val="1"/>
      <w:marLeft w:val="0"/>
      <w:marRight w:val="0"/>
      <w:marTop w:val="0"/>
      <w:marBottom w:val="0"/>
      <w:divBdr>
        <w:top w:val="none" w:sz="0" w:space="0" w:color="auto"/>
        <w:left w:val="none" w:sz="0" w:space="0" w:color="auto"/>
        <w:bottom w:val="none" w:sz="0" w:space="0" w:color="auto"/>
        <w:right w:val="none" w:sz="0" w:space="0" w:color="auto"/>
      </w:divBdr>
    </w:div>
    <w:div w:id="1945534334">
      <w:bodyDiv w:val="1"/>
      <w:marLeft w:val="0"/>
      <w:marRight w:val="0"/>
      <w:marTop w:val="0"/>
      <w:marBottom w:val="0"/>
      <w:divBdr>
        <w:top w:val="none" w:sz="0" w:space="0" w:color="auto"/>
        <w:left w:val="none" w:sz="0" w:space="0" w:color="auto"/>
        <w:bottom w:val="none" w:sz="0" w:space="0" w:color="auto"/>
        <w:right w:val="none" w:sz="0" w:space="0" w:color="auto"/>
      </w:divBdr>
      <w:divsChild>
        <w:div w:id="511342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provost/ug-research/showc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uisville.edu/english/people/dual-credit-facul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english/people/Part-Time-Faculty" TargetMode="External"/><Relationship Id="rId11" Type="http://schemas.openxmlformats.org/officeDocument/2006/relationships/hyperlink" Target="https://louisville.app.box.com/s/1ygexeljr7tfpnkr3u2dzhdxg0bhrmjm" TargetMode="External"/><Relationship Id="rId5" Type="http://schemas.openxmlformats.org/officeDocument/2006/relationships/hyperlink" Target="https://ir.library.louisville.edu/cardcomp/" TargetMode="External"/><Relationship Id="rId10" Type="http://schemas.openxmlformats.org/officeDocument/2006/relationships/hyperlink" Target="http://louisville.edu/english/about/commitment-to-antiracist-action-in-support-of-black-lives" TargetMode="External"/><Relationship Id="rId4" Type="http://schemas.openxmlformats.org/officeDocument/2006/relationships/webSettings" Target="webSettings.xml"/><Relationship Id="rId9" Type="http://schemas.openxmlformats.org/officeDocument/2006/relationships/hyperlink" Target="https://docs.google.com/document/d/1kZg6YglZM0ZeO15A3tyNFoV0_w3h-B0WDrD1bGbtg6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Andrea Olinger</cp:lastModifiedBy>
  <cp:revision>51</cp:revision>
  <dcterms:created xsi:type="dcterms:W3CDTF">2019-08-05T17:39:00Z</dcterms:created>
  <dcterms:modified xsi:type="dcterms:W3CDTF">2020-08-11T20:14:00Z</dcterms:modified>
</cp:coreProperties>
</file>