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825" w:rsidRDefault="00D50DE2" w:rsidP="00333825">
      <w:pPr>
        <w:spacing w:after="160" w:line="259" w:lineRule="auto"/>
        <w:ind w:left="0" w:hanging="360"/>
        <w:jc w:val="left"/>
        <w:rPr>
          <w:rFonts w:ascii="Rockwell" w:eastAsia="Rockwell" w:hAnsi="Rockwell" w:cs="Rockwell"/>
          <w:sz w:val="44"/>
        </w:rPr>
      </w:pPr>
      <w:r w:rsidRPr="00D50DE2">
        <w:rPr>
          <w:rFonts w:ascii="Rockwell" w:eastAsia="Rockwell" w:hAnsi="Rockwell" w:cs="Rockwell"/>
          <w:sz w:val="44"/>
        </w:rPr>
        <w:drawing>
          <wp:inline distT="0" distB="0" distL="0" distR="0" wp14:anchorId="536E08DE" wp14:editId="2D429AB7">
            <wp:extent cx="9371330" cy="720534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371330" cy="7205345"/>
                    </a:xfrm>
                    <a:prstGeom prst="rect">
                      <a:avLst/>
                    </a:prstGeom>
                  </pic:spPr>
                </pic:pic>
              </a:graphicData>
            </a:graphic>
          </wp:inline>
        </w:drawing>
      </w:r>
    </w:p>
    <w:p w:rsidR="00333825" w:rsidRDefault="00333825">
      <w:pPr>
        <w:spacing w:after="28" w:line="240" w:lineRule="auto"/>
        <w:ind w:left="170" w:right="411" w:firstLine="0"/>
        <w:jc w:val="left"/>
        <w:rPr>
          <w:rFonts w:ascii="Rockwell" w:eastAsia="Rockwell" w:hAnsi="Rockwell" w:cs="Rockwell"/>
          <w:sz w:val="44"/>
        </w:rPr>
      </w:pPr>
    </w:p>
    <w:p w:rsidR="00333825" w:rsidRDefault="00333825" w:rsidP="00333825">
      <w:pPr>
        <w:spacing w:after="160" w:line="259" w:lineRule="auto"/>
        <w:ind w:left="0" w:firstLine="0"/>
        <w:jc w:val="left"/>
        <w:rPr>
          <w:rFonts w:ascii="Rockwell" w:eastAsia="Rockwell" w:hAnsi="Rockwell" w:cs="Rockwell"/>
          <w:sz w:val="44"/>
        </w:rPr>
        <w:sectPr w:rsidR="00333825" w:rsidSect="00333825">
          <w:pgSz w:w="15840" w:h="12240" w:orient="landscape"/>
          <w:pgMar w:top="270" w:right="452" w:bottom="390" w:left="630" w:header="720" w:footer="720" w:gutter="0"/>
          <w:cols w:space="844"/>
        </w:sectPr>
      </w:pPr>
    </w:p>
    <w:p w:rsidR="00537482" w:rsidRDefault="00A84A63">
      <w:pPr>
        <w:spacing w:after="28" w:line="240" w:lineRule="auto"/>
        <w:ind w:left="170" w:right="411"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-55880</wp:posOffset>
                </wp:positionH>
                <wp:positionV relativeFrom="paragraph">
                  <wp:posOffset>-10795</wp:posOffset>
                </wp:positionV>
                <wp:extent cx="2851150" cy="1200150"/>
                <wp:effectExtent l="38100" t="38100" r="63500" b="57150"/>
                <wp:wrapNone/>
                <wp:docPr id="3879" name="Group 3879"/>
                <wp:cNvGraphicFramePr/>
                <a:graphic xmlns:a="http://schemas.openxmlformats.org/drawingml/2006/main">
                  <a:graphicData uri="http://schemas.microsoft.com/office/word/2010/wordprocessingGroup">
                    <wpg:wgp>
                      <wpg:cNvGrpSpPr/>
                      <wpg:grpSpPr>
                        <a:xfrm>
                          <a:off x="0" y="0"/>
                          <a:ext cx="2851150" cy="1200150"/>
                          <a:chOff x="0" y="0"/>
                          <a:chExt cx="2793512" cy="1148523"/>
                        </a:xfrm>
                      </wpg:grpSpPr>
                      <wps:wsp>
                        <wps:cNvPr id="121" name="Shape 121"/>
                        <wps:cNvSpPr/>
                        <wps:spPr>
                          <a:xfrm>
                            <a:off x="406" y="0"/>
                            <a:ext cx="2793106" cy="1148523"/>
                          </a:xfrm>
                          <a:custGeom>
                            <a:avLst/>
                            <a:gdLst/>
                            <a:ahLst/>
                            <a:cxnLst/>
                            <a:rect l="0" t="0" r="0" b="0"/>
                            <a:pathLst>
                              <a:path w="2768219" h="857250">
                                <a:moveTo>
                                  <a:pt x="0" y="0"/>
                                </a:moveTo>
                                <a:lnTo>
                                  <a:pt x="2768219" y="0"/>
                                </a:lnTo>
                                <a:lnTo>
                                  <a:pt x="2768219" y="857250"/>
                                </a:lnTo>
                                <a:lnTo>
                                  <a:pt x="0" y="857250"/>
                                </a:lnTo>
                                <a:lnTo>
                                  <a:pt x="0" y="0"/>
                                </a:lnTo>
                                <a:close/>
                              </a:path>
                            </a:pathLst>
                          </a:custGeom>
                          <a:ln w="101600" cap="rnd">
                            <a:miter lim="127000"/>
                          </a:ln>
                        </wps:spPr>
                        <wps:style>
                          <a:lnRef idx="1">
                            <a:srgbClr val="000000"/>
                          </a:lnRef>
                          <a:fillRef idx="0">
                            <a:srgbClr val="000000">
                              <a:alpha val="0"/>
                            </a:srgbClr>
                          </a:fillRef>
                          <a:effectRef idx="0">
                            <a:scrgbClr r="0" g="0" b="0"/>
                          </a:effectRef>
                          <a:fontRef idx="none"/>
                        </wps:style>
                        <wps:bodyPr/>
                      </wps:wsp>
                      <wps:wsp>
                        <wps:cNvPr id="5542" name="Shape 5542"/>
                        <wps:cNvSpPr/>
                        <wps:spPr>
                          <a:xfrm>
                            <a:off x="0" y="342900"/>
                            <a:ext cx="2731008" cy="744855"/>
                          </a:xfrm>
                          <a:custGeom>
                            <a:avLst/>
                            <a:gdLst/>
                            <a:ahLst/>
                            <a:cxnLst/>
                            <a:rect l="0" t="0" r="0" b="0"/>
                            <a:pathLst>
                              <a:path w="2751709" h="194742">
                                <a:moveTo>
                                  <a:pt x="0" y="0"/>
                                </a:moveTo>
                                <a:lnTo>
                                  <a:pt x="2751709" y="0"/>
                                </a:lnTo>
                                <a:lnTo>
                                  <a:pt x="2751709" y="194742"/>
                                </a:lnTo>
                                <a:lnTo>
                                  <a:pt x="0" y="19474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AEAE8CB" id="Group 3879" o:spid="_x0000_s1026" style="position:absolute;margin-left:-4.4pt;margin-top:-.85pt;width:224.5pt;height:94.5pt;z-index:-251658240;mso-width-relative:margin;mso-height-relative:margin" coordsize="27935,1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">
                <v:shape id="Shape 121" o:spid="_x0000_s1027" style="position:absolute;left:4;width:27931;height:11485;visibility:visible;mso-wrap-style:square;v-text-anchor:top" coordsize="2768219,857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KxFsIA&#10;AADcAAAADwAAAGRycy9kb3ducmV2LnhtbERPTYvCMBC9C/6HMII3TfUgtWuUVXAVD4Ktl72Nzdh2&#10;bSalyWr992Zhwds83ucsVp2pxZ1aV1lWMBlHIIhzqysuFJyz7SgG4TyyxtoyKXiSg9Wy31tgou2D&#10;T3RPfSFCCLsEFZTeN4mULi/JoBvbhjhwV9sa9AG2hdQtPkK4qeU0imbSYMWhocSGNiXlt/TXKIhs&#10;HM+yy1rGhyPv8u+v+c8h9UoNB93nBwhPnX+L/917HeZPJ/D3TLh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IrEWwgAAANwAAAAPAAAAAAAAAAAAAAAAAJgCAABkcnMvZG93&#10;bnJldi54bWxQSwUGAAAAAAQABAD1AAAAhwMAAAAA&#10;" path="m,l2768219,r,857250l,857250,,xe" filled="f" strokeweight="8pt">
                  <v:stroke miterlimit="83231f" joinstyle="miter" endcap="round"/>
                  <v:path arrowok="t" textboxrect="0,0,2768219,857250"/>
                </v:shape>
                <v:shape id="Shape 5542" o:spid="_x0000_s1028" style="position:absolute;top:3429;width:27310;height:7448;visibility:visible;mso-wrap-style:square;v-text-anchor:top" coordsize="2751709,194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fzMcA&#10;AADdAAAADwAAAGRycy9kb3ducmV2LnhtbESP3WrCQBSE7wt9h+UIvdNNjD81uooVREF7Ue0DHLLH&#10;JJg9G7JbE336bkHo5TAz3zCLVWcqcaPGlZYVxIMIBHFmdcm5gu/ztv8OwnlkjZVlUnAnB6vl68sC&#10;U21b/qLbyeciQNilqKDwvk6ldFlBBt3A1sTBu9jGoA+yyaVusA1wU8lhFE2kwZLDQoE1bQrKrqcf&#10;o+C4PrTTj+S6kfvP3SNuZ7yNk0Spt163noPw1Pn/8LO91wrG49EQ/t6E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Pn8zHAAAA3QAAAA8AAAAAAAAAAAAAAAAAmAIAAGRy&#10;cy9kb3ducmV2LnhtbFBLBQYAAAAABAAEAPUAAACMAwAAAAA=&#10;" path="m,l2751709,r,194742l,194742,,e" fillcolor="#c00000" stroked="f" strokeweight="0">
                  <v:stroke miterlimit="83231f" joinstyle="miter"/>
                  <v:path arrowok="t" textboxrect="0,0,2751709,194742"/>
                </v:shape>
              </v:group>
            </w:pict>
          </mc:Fallback>
        </mc:AlternateContent>
      </w:r>
      <w:r w:rsidR="00D50DE2">
        <w:rPr>
          <w:rFonts w:ascii="Rockwell" w:eastAsia="Rockwell" w:hAnsi="Rockwell" w:cs="Rockwell"/>
          <w:sz w:val="44"/>
        </w:rPr>
        <w:t xml:space="preserve">What is the </w:t>
      </w:r>
      <w:r w:rsidRPr="00064118">
        <w:rPr>
          <w:rFonts w:ascii="Rockwell" w:eastAsia="Rockwell" w:hAnsi="Rockwell" w:cs="Rockwell"/>
          <w:b/>
          <w:color w:val="FFFFFF" w:themeColor="background1"/>
          <w:sz w:val="44"/>
        </w:rPr>
        <w:t>Louisville Writing</w:t>
      </w:r>
      <w:r w:rsidRPr="00064118">
        <w:rPr>
          <w:rFonts w:ascii="Rockwell" w:eastAsia="Rockwell" w:hAnsi="Rockwell" w:cs="Rockwell"/>
          <w:color w:val="FFFFFF" w:themeColor="background1"/>
          <w:sz w:val="44"/>
        </w:rPr>
        <w:t xml:space="preserve"> </w:t>
      </w:r>
      <w:r w:rsidRPr="00064118">
        <w:rPr>
          <w:rFonts w:ascii="Rockwell" w:eastAsia="Rockwell" w:hAnsi="Rockwell" w:cs="Rockwell"/>
          <w:b/>
          <w:color w:val="FFFFFF" w:themeColor="background1"/>
          <w:sz w:val="44"/>
        </w:rPr>
        <w:t>Project?</w:t>
      </w:r>
      <w:r w:rsidRPr="00CE65DF">
        <w:rPr>
          <w:rFonts w:ascii="Rockwell" w:eastAsia="Rockwell" w:hAnsi="Rockwell" w:cs="Rockwell"/>
          <w:color w:val="FFFFFF" w:themeColor="background1"/>
          <w:sz w:val="44"/>
        </w:rPr>
        <w:t xml:space="preserve"> </w:t>
      </w:r>
    </w:p>
    <w:p w:rsidR="00537482" w:rsidRDefault="00A84A63">
      <w:pPr>
        <w:spacing w:after="173" w:line="259" w:lineRule="auto"/>
        <w:ind w:left="5" w:firstLine="0"/>
        <w:jc w:val="left"/>
      </w:pPr>
      <w:r>
        <w:rPr>
          <w:rFonts w:ascii="Rockwell" w:eastAsia="Rockwell" w:hAnsi="Rockwell" w:cs="Rockwell"/>
        </w:rPr>
        <w:t xml:space="preserve"> </w:t>
      </w:r>
    </w:p>
    <w:p w:rsidR="00064118" w:rsidRDefault="00064118">
      <w:pPr>
        <w:spacing w:after="163" w:line="241" w:lineRule="auto"/>
        <w:ind w:left="-5" w:right="38"/>
        <w:rPr>
          <w:b/>
        </w:rPr>
      </w:pPr>
    </w:p>
    <w:p w:rsidR="00537482" w:rsidRPr="00405BE7" w:rsidRDefault="00A84A63">
      <w:pPr>
        <w:spacing w:after="163" w:line="241" w:lineRule="auto"/>
        <w:ind w:left="-5" w:right="38"/>
        <w:rPr>
          <w:sz w:val="19"/>
          <w:szCs w:val="19"/>
        </w:rPr>
      </w:pPr>
      <w:r w:rsidRPr="00405BE7">
        <w:rPr>
          <w:b/>
          <w:sz w:val="19"/>
          <w:szCs w:val="19"/>
        </w:rPr>
        <w:t xml:space="preserve">We are a teacher network focused on developing teacher leaders in writing and all other aspects of literacy.  LWP is affiliated with the National Writing Project (federally funded 1991-2011), a network of </w:t>
      </w:r>
      <w:r w:rsidR="00D53E1C" w:rsidRPr="00405BE7">
        <w:rPr>
          <w:b/>
          <w:sz w:val="19"/>
          <w:szCs w:val="19"/>
        </w:rPr>
        <w:t>1</w:t>
      </w:r>
      <w:r w:rsidR="00333825">
        <w:rPr>
          <w:b/>
          <w:sz w:val="19"/>
          <w:szCs w:val="19"/>
        </w:rPr>
        <w:t>75</w:t>
      </w:r>
      <w:r w:rsidRPr="00405BE7">
        <w:rPr>
          <w:b/>
          <w:sz w:val="19"/>
          <w:szCs w:val="19"/>
        </w:rPr>
        <w:t xml:space="preserve"> sites across the country and abroad (www.nwp.org)</w:t>
      </w:r>
      <w:r w:rsidR="00D50DE2">
        <w:rPr>
          <w:b/>
          <w:sz w:val="19"/>
          <w:szCs w:val="19"/>
        </w:rPr>
        <w:t>.</w:t>
      </w:r>
      <w:r w:rsidRPr="00405BE7">
        <w:rPr>
          <w:b/>
          <w:sz w:val="19"/>
          <w:szCs w:val="19"/>
        </w:rPr>
        <w:t xml:space="preserve"> </w:t>
      </w:r>
    </w:p>
    <w:p w:rsidR="00537482" w:rsidRPr="00405BE7" w:rsidRDefault="00A84A63">
      <w:pPr>
        <w:spacing w:after="80" w:line="344" w:lineRule="auto"/>
        <w:ind w:left="-5" w:right="38"/>
        <w:rPr>
          <w:sz w:val="19"/>
          <w:szCs w:val="19"/>
        </w:rPr>
      </w:pPr>
      <w:r w:rsidRPr="00405BE7">
        <w:rPr>
          <w:b/>
          <w:sz w:val="19"/>
          <w:szCs w:val="19"/>
        </w:rPr>
        <w:t xml:space="preserve">LWP works with schools to provide and promote professional development in literacy for teachers of all grade levels and content areas.  </w:t>
      </w:r>
      <w:r w:rsidRPr="00405BE7">
        <w:rPr>
          <w:sz w:val="19"/>
          <w:szCs w:val="19"/>
        </w:rPr>
        <w:t xml:space="preserve">We seek to </w:t>
      </w:r>
    </w:p>
    <w:p w:rsidR="00537482" w:rsidRPr="00405BE7" w:rsidRDefault="00A84A63">
      <w:pPr>
        <w:ind w:left="12" w:right="312"/>
        <w:rPr>
          <w:sz w:val="19"/>
          <w:szCs w:val="19"/>
        </w:rPr>
      </w:pPr>
      <w:r w:rsidRPr="00405BE7">
        <w:rPr>
          <w:sz w:val="19"/>
          <w:szCs w:val="19"/>
        </w:rPr>
        <w:t xml:space="preserve">—improve literacy skills among students; </w:t>
      </w:r>
    </w:p>
    <w:p w:rsidR="00537482" w:rsidRPr="00405BE7" w:rsidRDefault="00A84A63">
      <w:pPr>
        <w:ind w:left="12" w:right="53"/>
        <w:rPr>
          <w:sz w:val="19"/>
          <w:szCs w:val="19"/>
        </w:rPr>
      </w:pPr>
      <w:r w:rsidRPr="00405BE7">
        <w:rPr>
          <w:sz w:val="19"/>
          <w:szCs w:val="19"/>
        </w:rPr>
        <w:t>—support teachers in und</w:t>
      </w:r>
      <w:r w:rsidR="00405BE7" w:rsidRPr="00405BE7">
        <w:rPr>
          <w:sz w:val="19"/>
          <w:szCs w:val="19"/>
        </w:rPr>
        <w:t>erstanding and implementing s</w:t>
      </w:r>
      <w:r w:rsidRPr="00405BE7">
        <w:rPr>
          <w:sz w:val="19"/>
          <w:szCs w:val="19"/>
        </w:rPr>
        <w:t>tandards</w:t>
      </w:r>
      <w:r w:rsidR="00405BE7" w:rsidRPr="00405BE7">
        <w:rPr>
          <w:sz w:val="19"/>
          <w:szCs w:val="19"/>
        </w:rPr>
        <w:t>- and research-based literacy practices in all contents and grade levels.</w:t>
      </w:r>
    </w:p>
    <w:p w:rsidR="00537482" w:rsidRPr="00405BE7" w:rsidRDefault="00064118">
      <w:pPr>
        <w:ind w:left="2328" w:hanging="2326"/>
        <w:rPr>
          <w:sz w:val="19"/>
          <w:szCs w:val="19"/>
        </w:rPr>
      </w:pPr>
      <w:r w:rsidRPr="00405BE7">
        <w:rPr>
          <w:noProof/>
          <w:sz w:val="19"/>
          <w:szCs w:val="19"/>
        </w:rPr>
        <w:drawing>
          <wp:anchor distT="0" distB="0" distL="114300" distR="114300" simplePos="0" relativeHeight="251659264" behindDoc="0" locked="0" layoutInCell="1" allowOverlap="0">
            <wp:simplePos x="0" y="0"/>
            <wp:positionH relativeFrom="column">
              <wp:align>left</wp:align>
            </wp:positionH>
            <wp:positionV relativeFrom="paragraph">
              <wp:posOffset>265430</wp:posOffset>
            </wp:positionV>
            <wp:extent cx="1365250" cy="1587500"/>
            <wp:effectExtent l="0" t="0" r="6350" b="0"/>
            <wp:wrapSquare wrapText="bothSides"/>
            <wp:docPr id="215" name="Picture 215"/>
            <wp:cNvGraphicFramePr/>
            <a:graphic xmlns:a="http://schemas.openxmlformats.org/drawingml/2006/main">
              <a:graphicData uri="http://schemas.openxmlformats.org/drawingml/2006/picture">
                <pic:pic xmlns:pic="http://schemas.openxmlformats.org/drawingml/2006/picture">
                  <pic:nvPicPr>
                    <pic:cNvPr id="215" name="Picture 215"/>
                    <pic:cNvPicPr/>
                  </pic:nvPicPr>
                  <pic:blipFill>
                    <a:blip r:embed="rId6"/>
                    <a:stretch>
                      <a:fillRect/>
                    </a:stretch>
                  </pic:blipFill>
                  <pic:spPr>
                    <a:xfrm>
                      <a:off x="0" y="0"/>
                      <a:ext cx="1365250" cy="1587500"/>
                    </a:xfrm>
                    <a:prstGeom prst="rect">
                      <a:avLst/>
                    </a:prstGeom>
                  </pic:spPr>
                </pic:pic>
              </a:graphicData>
            </a:graphic>
            <wp14:sizeRelH relativeFrom="margin">
              <wp14:pctWidth>0</wp14:pctWidth>
            </wp14:sizeRelH>
            <wp14:sizeRelV relativeFrom="margin">
              <wp14:pctHeight>0</wp14:pctHeight>
            </wp14:sizeRelV>
          </wp:anchor>
        </w:drawing>
      </w:r>
      <w:r w:rsidR="00A84A63" w:rsidRPr="00405BE7">
        <w:rPr>
          <w:sz w:val="19"/>
          <w:szCs w:val="19"/>
        </w:rPr>
        <w:t xml:space="preserve">—increase understanding of literacy assessment methods; </w:t>
      </w:r>
    </w:p>
    <w:p w:rsidR="00537482" w:rsidRPr="00405BE7" w:rsidRDefault="00A84A63">
      <w:pPr>
        <w:ind w:left="12" w:right="48"/>
        <w:rPr>
          <w:sz w:val="19"/>
          <w:szCs w:val="19"/>
        </w:rPr>
      </w:pPr>
      <w:r w:rsidRPr="00405BE7">
        <w:rPr>
          <w:sz w:val="19"/>
          <w:szCs w:val="19"/>
        </w:rPr>
        <w:t xml:space="preserve">—recognize and promote teacher expertise in the teaching of writing and reading; and </w:t>
      </w:r>
    </w:p>
    <w:p w:rsidR="00537482" w:rsidRPr="00405BE7" w:rsidRDefault="00A84A63" w:rsidP="001130B6">
      <w:pPr>
        <w:spacing w:after="5" w:line="248" w:lineRule="auto"/>
        <w:ind w:left="2" w:right="48" w:firstLine="0"/>
        <w:rPr>
          <w:sz w:val="19"/>
          <w:szCs w:val="19"/>
        </w:rPr>
      </w:pPr>
      <w:r w:rsidRPr="00405BE7">
        <w:rPr>
          <w:sz w:val="19"/>
          <w:szCs w:val="19"/>
        </w:rPr>
        <w:t>—increase literacy c</w:t>
      </w:r>
      <w:r w:rsidR="001130B6" w:rsidRPr="00405BE7">
        <w:rPr>
          <w:sz w:val="19"/>
          <w:szCs w:val="19"/>
        </w:rPr>
        <w:t xml:space="preserve">ollaboration and communication among </w:t>
      </w:r>
      <w:r w:rsidRPr="00405BE7">
        <w:rPr>
          <w:sz w:val="19"/>
          <w:szCs w:val="19"/>
        </w:rPr>
        <w:t>all teachers, P-12.</w:t>
      </w:r>
      <w:r w:rsidR="00F34301" w:rsidRPr="00405BE7">
        <w:rPr>
          <w:sz w:val="19"/>
          <w:szCs w:val="19"/>
        </w:rPr>
        <w:t xml:space="preserve"> </w:t>
      </w:r>
    </w:p>
    <w:p w:rsidR="00F34301" w:rsidRPr="00405BE7" w:rsidRDefault="00F34301" w:rsidP="00F34301">
      <w:pPr>
        <w:spacing w:after="221" w:line="259" w:lineRule="auto"/>
        <w:ind w:left="365" w:firstLine="0"/>
        <w:jc w:val="left"/>
        <w:rPr>
          <w:sz w:val="19"/>
          <w:szCs w:val="19"/>
        </w:rPr>
      </w:pPr>
    </w:p>
    <w:p w:rsidR="00537482" w:rsidRPr="00405BE7" w:rsidRDefault="00A84A63" w:rsidP="00F34301">
      <w:pPr>
        <w:spacing w:after="221" w:line="259" w:lineRule="auto"/>
        <w:ind w:left="0" w:firstLine="0"/>
        <w:rPr>
          <w:sz w:val="19"/>
          <w:szCs w:val="19"/>
        </w:rPr>
      </w:pPr>
      <w:r w:rsidRPr="00405BE7">
        <w:rPr>
          <w:b/>
          <w:sz w:val="19"/>
          <w:szCs w:val="19"/>
        </w:rPr>
        <w:t>In addition to the Summer Institute for Leadership Development, we offer contracted teacher profess</w:t>
      </w:r>
      <w:r w:rsidR="00F34301" w:rsidRPr="00405BE7">
        <w:rPr>
          <w:b/>
          <w:sz w:val="19"/>
          <w:szCs w:val="19"/>
        </w:rPr>
        <w:t>ional development to schools to</w:t>
      </w:r>
      <w:r w:rsidRPr="00405BE7">
        <w:rPr>
          <w:b/>
          <w:sz w:val="19"/>
          <w:szCs w:val="19"/>
        </w:rPr>
        <w:t xml:space="preserve"> promote best practices in literacy and to enhance student achievement in all grade levels and contents. </w:t>
      </w:r>
      <w:r w:rsidRPr="00405BE7">
        <w:rPr>
          <w:rFonts w:ascii="Rockwell" w:eastAsia="Rockwell" w:hAnsi="Rockwell" w:cs="Rockwell"/>
          <w:b/>
          <w:sz w:val="19"/>
          <w:szCs w:val="19"/>
        </w:rPr>
        <w:t xml:space="preserve"> </w:t>
      </w:r>
    </w:p>
    <w:tbl>
      <w:tblPr>
        <w:tblStyle w:val="TableGrid"/>
        <w:tblW w:w="4140" w:type="dxa"/>
        <w:tblInd w:w="270" w:type="dxa"/>
        <w:tblCellMar>
          <w:top w:w="37" w:type="dxa"/>
          <w:left w:w="662" w:type="dxa"/>
          <w:right w:w="402" w:type="dxa"/>
        </w:tblCellMar>
        <w:tblLook w:val="04A0" w:firstRow="1" w:lastRow="0" w:firstColumn="1" w:lastColumn="0" w:noHBand="0" w:noVBand="1"/>
      </w:tblPr>
      <w:tblGrid>
        <w:gridCol w:w="4140"/>
      </w:tblGrid>
      <w:tr w:rsidR="00537482" w:rsidTr="00F34301">
        <w:trPr>
          <w:trHeight w:val="810"/>
        </w:trPr>
        <w:tc>
          <w:tcPr>
            <w:tcW w:w="4140" w:type="dxa"/>
            <w:tcBorders>
              <w:top w:val="nil"/>
              <w:left w:val="nil"/>
              <w:bottom w:val="nil"/>
              <w:right w:val="nil"/>
            </w:tcBorders>
            <w:shd w:val="clear" w:color="auto" w:fill="CCCCCC"/>
          </w:tcPr>
          <w:p w:rsidR="007E1495" w:rsidRPr="007E1495" w:rsidRDefault="00A84A63" w:rsidP="00F34301">
            <w:pPr>
              <w:spacing w:after="0" w:line="259" w:lineRule="auto"/>
              <w:ind w:left="190" w:hanging="252"/>
              <w:jc w:val="center"/>
              <w:rPr>
                <w:rFonts w:ascii="Rockwell" w:eastAsia="Rockwell" w:hAnsi="Rockwell" w:cs="Rockwell"/>
                <w:sz w:val="32"/>
              </w:rPr>
            </w:pPr>
            <w:r w:rsidRPr="007E1495">
              <w:rPr>
                <w:rFonts w:ascii="Rockwell" w:eastAsia="Rockwell" w:hAnsi="Rockwell" w:cs="Rockwell"/>
                <w:sz w:val="32"/>
              </w:rPr>
              <w:t>Basic A</w:t>
            </w:r>
            <w:r w:rsidR="007E1495" w:rsidRPr="007E1495">
              <w:rPr>
                <w:rFonts w:ascii="Rockwell" w:eastAsia="Rockwell" w:hAnsi="Rockwell" w:cs="Rockwell"/>
                <w:sz w:val="32"/>
              </w:rPr>
              <w:t>ssumptions of the</w:t>
            </w:r>
            <w:r w:rsidRPr="007E1495">
              <w:rPr>
                <w:rFonts w:ascii="Rockwell" w:eastAsia="Rockwell" w:hAnsi="Rockwell" w:cs="Rockwell"/>
                <w:sz w:val="32"/>
              </w:rPr>
              <w:t xml:space="preserve"> </w:t>
            </w:r>
          </w:p>
          <w:p w:rsidR="00537482" w:rsidRDefault="007E1495" w:rsidP="007E1495">
            <w:pPr>
              <w:spacing w:after="0" w:line="259" w:lineRule="auto"/>
              <w:ind w:left="190" w:hanging="342"/>
            </w:pPr>
            <w:r>
              <w:rPr>
                <w:rFonts w:ascii="Rockwell" w:eastAsia="Rockwell" w:hAnsi="Rockwell" w:cs="Rockwell"/>
                <w:sz w:val="32"/>
              </w:rPr>
              <w:t xml:space="preserve">Writing </w:t>
            </w:r>
            <w:r w:rsidRPr="007E1495">
              <w:rPr>
                <w:rFonts w:ascii="Rockwell" w:eastAsia="Rockwell" w:hAnsi="Rockwell" w:cs="Rockwell"/>
                <w:sz w:val="32"/>
              </w:rPr>
              <w:t xml:space="preserve">Project </w:t>
            </w:r>
            <w:r w:rsidR="00A84A63" w:rsidRPr="007E1495">
              <w:rPr>
                <w:rFonts w:ascii="Rockwell" w:eastAsia="Rockwell" w:hAnsi="Rockwell" w:cs="Rockwell"/>
                <w:sz w:val="32"/>
              </w:rPr>
              <w:t>Model</w:t>
            </w:r>
          </w:p>
        </w:tc>
      </w:tr>
    </w:tbl>
    <w:p w:rsidR="00537482" w:rsidRDefault="00A84A63">
      <w:pPr>
        <w:spacing w:after="94" w:line="259" w:lineRule="auto"/>
        <w:ind w:left="0" w:firstLine="0"/>
        <w:jc w:val="left"/>
      </w:pPr>
      <w:r>
        <w:t xml:space="preserve"> </w:t>
      </w:r>
    </w:p>
    <w:p w:rsidR="001130B6" w:rsidRPr="001130B6" w:rsidRDefault="007A6ECA" w:rsidP="00F34301">
      <w:pPr>
        <w:pStyle w:val="ListParagraph"/>
        <w:numPr>
          <w:ilvl w:val="0"/>
          <w:numId w:val="3"/>
        </w:numPr>
        <w:ind w:left="360" w:right="-151"/>
      </w:pPr>
      <w:r w:rsidRPr="007E1495">
        <w:rPr>
          <w:noProof/>
        </w:rPr>
        <w:drawing>
          <wp:anchor distT="0" distB="0" distL="114300" distR="114300" simplePos="0" relativeHeight="251664384" behindDoc="1" locked="0" layoutInCell="1" allowOverlap="1">
            <wp:simplePos x="0" y="0"/>
            <wp:positionH relativeFrom="column">
              <wp:posOffset>45085</wp:posOffset>
            </wp:positionH>
            <wp:positionV relativeFrom="paragraph">
              <wp:posOffset>100965</wp:posOffset>
            </wp:positionV>
            <wp:extent cx="1173480" cy="984885"/>
            <wp:effectExtent l="0" t="953" r="6668" b="6667"/>
            <wp:wrapTight wrapText="bothSides">
              <wp:wrapPolygon edited="0">
                <wp:start x="-18" y="21579"/>
                <wp:lineTo x="21372" y="21579"/>
                <wp:lineTo x="21372" y="272"/>
                <wp:lineTo x="-18" y="272"/>
                <wp:lineTo x="-18" y="21579"/>
              </wp:wrapPolygon>
            </wp:wrapTight>
            <wp:docPr id="1" name="Picture 1" descr="C:\Users\jcwolp01\Pictures\2016-06\061416143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wolp01\Pictures\2016-06\0614161430b.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759" t="9403" r="26547"/>
                    <a:stretch/>
                  </pic:blipFill>
                  <pic:spPr bwMode="auto">
                    <a:xfrm rot="5400000">
                      <a:off x="0" y="0"/>
                      <a:ext cx="1173480" cy="984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4A63">
        <w:t xml:space="preserve">Writing is fundamental to learning. Summer Institutes therefore involve teachers from all disciplines and levels of instruction, primary through university. </w:t>
      </w:r>
    </w:p>
    <w:p w:rsidR="001130B6" w:rsidRPr="001130B6" w:rsidRDefault="00A84A63" w:rsidP="00F34301">
      <w:pPr>
        <w:numPr>
          <w:ilvl w:val="0"/>
          <w:numId w:val="1"/>
        </w:numPr>
        <w:ind w:right="-151" w:hanging="360"/>
      </w:pPr>
      <w:r>
        <w:t xml:space="preserve">As the process of writing can best be understood by engaging in that process, teachers of writing should write.  The summer institute focuses in part on teachers as writers. </w:t>
      </w:r>
    </w:p>
    <w:p w:rsidR="001130B6" w:rsidRPr="001130B6" w:rsidRDefault="00A84A63" w:rsidP="00F34301">
      <w:pPr>
        <w:numPr>
          <w:ilvl w:val="0"/>
          <w:numId w:val="1"/>
        </w:numPr>
        <w:ind w:right="-151" w:hanging="360"/>
      </w:pPr>
      <w:r>
        <w:t xml:space="preserve">Teachers are the best teachers of teachers; successful practicing teachers have greater credibility with their colleagues than outside experts.  A central part of the summer institute involves participants presenting their best lessons to one another. </w:t>
      </w:r>
    </w:p>
    <w:p w:rsidR="00537482" w:rsidRDefault="00A84A63" w:rsidP="00F34301">
      <w:pPr>
        <w:numPr>
          <w:ilvl w:val="0"/>
          <w:numId w:val="1"/>
        </w:numPr>
        <w:ind w:right="-151" w:hanging="360"/>
      </w:pPr>
      <w:r>
        <w:t xml:space="preserve">Real change in classroom practice happens over time. Working as partners, universities and schools can articulate and promote effective school reform.  The school year component of the institute therefore involves teachers sharing what they have learned with their colleagues. </w:t>
      </w:r>
    </w:p>
    <w:p w:rsidR="001130B6" w:rsidRDefault="00A84A63" w:rsidP="00DF3D09">
      <w:pPr>
        <w:numPr>
          <w:ilvl w:val="0"/>
          <w:numId w:val="1"/>
        </w:numPr>
        <w:pBdr>
          <w:bottom w:val="single" w:sz="6" w:space="1" w:color="auto"/>
        </w:pBdr>
        <w:spacing w:after="2"/>
        <w:ind w:right="-151" w:hanging="360"/>
      </w:pPr>
      <w:r>
        <w:t>Effective professional development programs are on-going and systematic, bringing teachers together regularly throughout their careers to examine successful practices and new developments (NWP, 1998).  LWP therefore offers lifelong PD, with members taking on leadership to sustain the network</w:t>
      </w:r>
      <w:r w:rsidR="00F34301">
        <w:t>.</w:t>
      </w:r>
      <w:r>
        <w:t xml:space="preserve"> </w:t>
      </w:r>
    </w:p>
    <w:p w:rsidR="00F34301" w:rsidRPr="0086398F" w:rsidRDefault="00F34301" w:rsidP="00333825">
      <w:pPr>
        <w:pBdr>
          <w:bottom w:val="single" w:sz="6" w:space="1" w:color="auto"/>
        </w:pBdr>
        <w:spacing w:after="2"/>
        <w:ind w:left="2" w:right="-151" w:firstLine="0"/>
      </w:pPr>
    </w:p>
    <w:p w:rsidR="00F34301" w:rsidRDefault="00F34301" w:rsidP="0086398F">
      <w:pPr>
        <w:ind w:left="0" w:right="-151" w:firstLine="0"/>
        <w:rPr>
          <w:b/>
        </w:rPr>
      </w:pPr>
    </w:p>
    <w:p w:rsidR="00265D9E" w:rsidRDefault="00A84A63" w:rsidP="00F34301">
      <w:pPr>
        <w:ind w:left="12" w:right="-151"/>
        <w:rPr>
          <w:b/>
        </w:rPr>
      </w:pPr>
      <w:r w:rsidRPr="001130B6">
        <w:rPr>
          <w:b/>
        </w:rPr>
        <w:t xml:space="preserve">LWP also sponsors </w:t>
      </w:r>
      <w:r w:rsidR="001C79BF" w:rsidRPr="001130B6">
        <w:rPr>
          <w:b/>
        </w:rPr>
        <w:t>in-school professional development, mini</w:t>
      </w:r>
      <w:r w:rsidR="00333825">
        <w:rPr>
          <w:b/>
        </w:rPr>
        <w:t>-</w:t>
      </w:r>
      <w:r w:rsidR="001C79BF" w:rsidRPr="001130B6">
        <w:rPr>
          <w:b/>
        </w:rPr>
        <w:t xml:space="preserve">conferences, </w:t>
      </w:r>
      <w:r w:rsidRPr="001130B6">
        <w:rPr>
          <w:b/>
        </w:rPr>
        <w:t xml:space="preserve">advanced institutes, graduate courses, study groups, book groups, writing groups, teacher publications, and social events for our members. </w:t>
      </w:r>
    </w:p>
    <w:p w:rsidR="00537482" w:rsidRPr="007E1495" w:rsidRDefault="00265D9E" w:rsidP="001130B6">
      <w:pPr>
        <w:ind w:left="12" w:right="64"/>
        <w:rPr>
          <w:b/>
          <w:color w:val="FF0000"/>
          <w:sz w:val="16"/>
        </w:rPr>
      </w:pPr>
      <w:r w:rsidRPr="007E1495">
        <w:rPr>
          <w:b/>
          <w:color w:val="FF0000"/>
          <w:sz w:val="16"/>
        </w:rPr>
        <w:t>https://louisville.edu/education/centers/nystrand/lwp</w:t>
      </w:r>
      <w:r w:rsidR="00A84A63" w:rsidRPr="007E1495">
        <w:rPr>
          <w:b/>
          <w:color w:val="FF0000"/>
          <w:sz w:val="16"/>
        </w:rPr>
        <w:t xml:space="preserve">  </w:t>
      </w:r>
    </w:p>
    <w:p w:rsidR="00537482" w:rsidRDefault="00A84A63">
      <w:pPr>
        <w:pStyle w:val="Heading2"/>
        <w:spacing w:after="265"/>
      </w:pPr>
      <w:r>
        <w:t>Eligibility for LWP</w:t>
      </w:r>
      <w:r w:rsidR="00CE65DF">
        <w:t xml:space="preserve"> Invitational Institute</w:t>
      </w:r>
      <w:r>
        <w:rPr>
          <w:sz w:val="18"/>
        </w:rPr>
        <w:t xml:space="preserve"> </w:t>
      </w:r>
    </w:p>
    <w:p w:rsidR="00D50DE2" w:rsidRDefault="00A84A63">
      <w:pPr>
        <w:ind w:left="12" w:right="312"/>
      </w:pPr>
      <w:r>
        <w:t>LWP seeks P-20 educators/ (both teachers and administrators</w:t>
      </w:r>
      <w:r w:rsidR="00D50DE2">
        <w:t xml:space="preserve"> of any content area</w:t>
      </w:r>
      <w:bookmarkStart w:id="0" w:name="_GoBack"/>
      <w:bookmarkEnd w:id="0"/>
      <w:r>
        <w:t xml:space="preserve">) from </w:t>
      </w:r>
      <w:r w:rsidR="007E1495">
        <w:t>a 10-county</w:t>
      </w:r>
      <w:r>
        <w:t xml:space="preserve"> service area</w:t>
      </w:r>
      <w:r w:rsidR="007E1495">
        <w:t xml:space="preserve"> around </w:t>
      </w:r>
      <w:proofErr w:type="spellStart"/>
      <w:r w:rsidR="007E1495">
        <w:t>UofL</w:t>
      </w:r>
      <w:proofErr w:type="spellEnd"/>
      <w:r>
        <w:t xml:space="preserve">. </w:t>
      </w:r>
      <w:r w:rsidR="00D50DE2">
        <w:t>We recommend that candidates have some classroom experience, but will accept strong pre-service teachers.</w:t>
      </w:r>
    </w:p>
    <w:p w:rsidR="00537482" w:rsidRDefault="00A84A63">
      <w:pPr>
        <w:ind w:left="12" w:right="312"/>
      </w:pPr>
      <w:r>
        <w:t xml:space="preserve">Criteria for selection include </w:t>
      </w:r>
    </w:p>
    <w:p w:rsidR="00537482" w:rsidRDefault="00A84A63">
      <w:pPr>
        <w:ind w:left="12" w:right="312"/>
      </w:pPr>
      <w:r>
        <w:t xml:space="preserve">—strong recommendation plus commitment from principal/supervisor to provide candidate with leadership opportunities; </w:t>
      </w:r>
    </w:p>
    <w:p w:rsidR="00537482" w:rsidRDefault="005B603F">
      <w:pPr>
        <w:ind w:left="12" w:right="312"/>
      </w:pPr>
      <w:r>
        <w:rPr>
          <w:noProof/>
        </w:rPr>
        <w:drawing>
          <wp:anchor distT="0" distB="0" distL="114300" distR="114300" simplePos="0" relativeHeight="251687936" behindDoc="1" locked="0" layoutInCell="1" allowOverlap="1">
            <wp:simplePos x="0" y="0"/>
            <wp:positionH relativeFrom="column">
              <wp:align>left</wp:align>
            </wp:positionH>
            <wp:positionV relativeFrom="paragraph">
              <wp:posOffset>498475</wp:posOffset>
            </wp:positionV>
            <wp:extent cx="2368550" cy="1270000"/>
            <wp:effectExtent l="0" t="0" r="0" b="6350"/>
            <wp:wrapTight wrapText="bothSides">
              <wp:wrapPolygon edited="0">
                <wp:start x="0" y="0"/>
                <wp:lineTo x="0" y="21384"/>
                <wp:lineTo x="21368" y="21384"/>
                <wp:lineTo x="21368" y="0"/>
                <wp:lineTo x="0" y="0"/>
              </wp:wrapPolygon>
            </wp:wrapTight>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8" cstate="print">
                      <a:extLst>
                        <a:ext uri="{28A0092B-C50C-407E-A947-70E740481C1C}">
                          <a14:useLocalDpi xmlns:a14="http://schemas.microsoft.com/office/drawing/2010/main" val="0"/>
                        </a:ext>
                      </a:extLst>
                    </a:blip>
                    <a:srcRect l="12282" t="25287" r="23111"/>
                    <a:stretch/>
                  </pic:blipFill>
                  <pic:spPr bwMode="auto">
                    <a:xfrm>
                      <a:off x="0" y="0"/>
                      <a:ext cx="2368550" cy="127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4A63">
        <w:t>—potential for and commitment to improving teaching practices in writing and in assuming leaders</w:t>
      </w:r>
      <w:r>
        <w:t xml:space="preserve">hip roles; </w:t>
      </w:r>
    </w:p>
    <w:p w:rsidR="005B603F" w:rsidRDefault="005B603F">
      <w:pPr>
        <w:ind w:left="12" w:right="312"/>
      </w:pPr>
    </w:p>
    <w:p w:rsidR="00537482" w:rsidRDefault="00A84A63">
      <w:pPr>
        <w:ind w:left="12" w:right="312"/>
      </w:pPr>
      <w:r>
        <w:t>—well-prepared application</w:t>
      </w:r>
      <w:r w:rsidR="007E1495">
        <w:t xml:space="preserve"> and</w:t>
      </w:r>
      <w:r>
        <w:t xml:space="preserve"> successful interview; </w:t>
      </w:r>
      <w:r w:rsidR="005B603F">
        <w:t>and</w:t>
      </w:r>
    </w:p>
    <w:p w:rsidR="00CE65DF" w:rsidRDefault="00A84A63" w:rsidP="001130B6">
      <w:pPr>
        <w:spacing w:after="42" w:line="259" w:lineRule="auto"/>
        <w:ind w:left="0" w:right="391" w:firstLine="0"/>
        <w:rPr>
          <w:rFonts w:ascii="Rockwell" w:eastAsia="Rockwell" w:hAnsi="Rockwell" w:cs="Rockwell"/>
        </w:rPr>
      </w:pPr>
      <w:r>
        <w:t>—commitment to share your expertise through a demonstration lesson; to develop your skills as a presenter; to read, write, and research in order to improve your teaching; and to participate actively in the network.</w:t>
      </w:r>
      <w:r>
        <w:rPr>
          <w:rFonts w:ascii="Rockwell" w:eastAsia="Rockwell" w:hAnsi="Rockwell" w:cs="Rockwell"/>
        </w:rPr>
        <w:t xml:space="preserve"> </w:t>
      </w:r>
    </w:p>
    <w:p w:rsidR="009C648E" w:rsidRDefault="005B603F" w:rsidP="00E90B7B">
      <w:pPr>
        <w:spacing w:after="33" w:line="265" w:lineRule="auto"/>
        <w:ind w:left="-5"/>
        <w:jc w:val="left"/>
      </w:pPr>
      <w:r>
        <w:rPr>
          <w:noProof/>
        </w:rPr>
        <w:drawing>
          <wp:anchor distT="0" distB="0" distL="114300" distR="114300" simplePos="0" relativeHeight="251678720" behindDoc="0" locked="0" layoutInCell="1" allowOverlap="0" wp14:anchorId="4A06C19A" wp14:editId="003E0266">
            <wp:simplePos x="0" y="0"/>
            <wp:positionH relativeFrom="column">
              <wp:posOffset>19685</wp:posOffset>
            </wp:positionH>
            <wp:positionV relativeFrom="paragraph">
              <wp:posOffset>165100</wp:posOffset>
            </wp:positionV>
            <wp:extent cx="2244090" cy="1302385"/>
            <wp:effectExtent l="0" t="0" r="3810" b="0"/>
            <wp:wrapSquare wrapText="bothSides"/>
            <wp:docPr id="62" name="Picture 62"/>
            <wp:cNvGraphicFramePr/>
            <a:graphic xmlns:a="http://schemas.openxmlformats.org/drawingml/2006/main">
              <a:graphicData uri="http://schemas.openxmlformats.org/drawingml/2006/picture">
                <pic:pic xmlns:pic="http://schemas.openxmlformats.org/drawingml/2006/picture">
                  <pic:nvPicPr>
                    <pic:cNvPr id="451" name="Picture 451"/>
                    <pic:cNvPicPr/>
                  </pic:nvPicPr>
                  <pic:blipFill>
                    <a:blip r:embed="rId9"/>
                    <a:stretch>
                      <a:fillRect/>
                    </a:stretch>
                  </pic:blipFill>
                  <pic:spPr>
                    <a:xfrm>
                      <a:off x="0" y="0"/>
                      <a:ext cx="2244090" cy="1302385"/>
                    </a:xfrm>
                    <a:prstGeom prst="rect">
                      <a:avLst/>
                    </a:prstGeom>
                  </pic:spPr>
                </pic:pic>
              </a:graphicData>
            </a:graphic>
            <wp14:sizeRelH relativeFrom="margin">
              <wp14:pctWidth>0</wp14:pctWidth>
            </wp14:sizeRelH>
            <wp14:sizeRelV relativeFrom="margin">
              <wp14:pctHeight>0</wp14:pctHeight>
            </wp14:sizeRelV>
          </wp:anchor>
        </w:drawing>
      </w:r>
      <w:r w:rsidR="009C648E">
        <w:rPr>
          <w:rFonts w:ascii="Rockwell" w:eastAsia="Rockwell" w:hAnsi="Rockwell" w:cs="Rockwell"/>
          <w:b/>
          <w:sz w:val="28"/>
        </w:rPr>
        <w:tab/>
      </w:r>
      <w:r w:rsidR="009C648E">
        <w:rPr>
          <w:rFonts w:ascii="Rockwell" w:eastAsia="Rockwell" w:hAnsi="Rockwell" w:cs="Rockwell"/>
          <w:b/>
          <w:sz w:val="28"/>
        </w:rPr>
        <w:tab/>
      </w:r>
      <w:r w:rsidR="009C648E">
        <w:rPr>
          <w:rFonts w:ascii="Constantia" w:eastAsia="Constantia" w:hAnsi="Constantia" w:cs="Constantia"/>
          <w:sz w:val="20"/>
        </w:rPr>
        <w:t xml:space="preserve">  </w:t>
      </w:r>
    </w:p>
    <w:sectPr w:rsidR="009C648E" w:rsidSect="00333825">
      <w:type w:val="continuous"/>
      <w:pgSz w:w="15840" w:h="12240" w:orient="landscape"/>
      <w:pgMar w:top="657" w:right="452" w:bottom="390" w:left="778" w:header="720" w:footer="720" w:gutter="0"/>
      <w:cols w:num="3" w:space="720" w:equalWidth="0">
        <w:col w:w="4386" w:space="844"/>
        <w:col w:w="4259" w:space="1152"/>
        <w:col w:w="39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A0324"/>
    <w:multiLevelType w:val="hybridMultilevel"/>
    <w:tmpl w:val="50344572"/>
    <w:lvl w:ilvl="0" w:tplc="04090001">
      <w:start w:val="1"/>
      <w:numFmt w:val="bullet"/>
      <w:lvlText w:val=""/>
      <w:lvlJc w:val="left"/>
      <w:pPr>
        <w:ind w:left="1082" w:hanging="360"/>
      </w:pPr>
      <w:rPr>
        <w:rFonts w:ascii="Symbol" w:hAnsi="Symbol"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1" w15:restartNumberingAfterBreak="0">
    <w:nsid w:val="5F940120"/>
    <w:multiLevelType w:val="hybridMultilevel"/>
    <w:tmpl w:val="A34C19AC"/>
    <w:lvl w:ilvl="0" w:tplc="51BE43F2">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7EFCD0">
      <w:start w:val="1"/>
      <w:numFmt w:val="bullet"/>
      <w:lvlText w:val="o"/>
      <w:lvlJc w:val="left"/>
      <w:pPr>
        <w:ind w:left="1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BA7B34">
      <w:start w:val="1"/>
      <w:numFmt w:val="bullet"/>
      <w:lvlText w:val="▪"/>
      <w:lvlJc w:val="left"/>
      <w:pPr>
        <w:ind w:left="1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86A90E">
      <w:start w:val="1"/>
      <w:numFmt w:val="bullet"/>
      <w:lvlText w:val="•"/>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B66190">
      <w:start w:val="1"/>
      <w:numFmt w:val="bullet"/>
      <w:lvlText w:val="o"/>
      <w:lvlJc w:val="left"/>
      <w:pPr>
        <w:ind w:left="3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226610">
      <w:start w:val="1"/>
      <w:numFmt w:val="bullet"/>
      <w:lvlText w:val="▪"/>
      <w:lvlJc w:val="left"/>
      <w:pPr>
        <w:ind w:left="4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58F7FC">
      <w:start w:val="1"/>
      <w:numFmt w:val="bullet"/>
      <w:lvlText w:val="•"/>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5420CE">
      <w:start w:val="1"/>
      <w:numFmt w:val="bullet"/>
      <w:lvlText w:val="o"/>
      <w:lvlJc w:val="left"/>
      <w:pPr>
        <w:ind w:left="5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8ADC96">
      <w:start w:val="1"/>
      <w:numFmt w:val="bullet"/>
      <w:lvlText w:val="▪"/>
      <w:lvlJc w:val="left"/>
      <w:pPr>
        <w:ind w:left="6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F495ECD"/>
    <w:multiLevelType w:val="hybridMultilevel"/>
    <w:tmpl w:val="3EAE0C80"/>
    <w:lvl w:ilvl="0" w:tplc="CA3E447C">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0C7D9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8E54C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DD4E98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186F2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EEDA0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CA6B7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BC9E3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A08ED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82"/>
    <w:rsid w:val="00041F29"/>
    <w:rsid w:val="00064118"/>
    <w:rsid w:val="000872A8"/>
    <w:rsid w:val="000B3CE1"/>
    <w:rsid w:val="000F09B6"/>
    <w:rsid w:val="001130B6"/>
    <w:rsid w:val="0019513E"/>
    <w:rsid w:val="001C79BF"/>
    <w:rsid w:val="00265D9E"/>
    <w:rsid w:val="00333825"/>
    <w:rsid w:val="003E6668"/>
    <w:rsid w:val="00405461"/>
    <w:rsid w:val="00405BE7"/>
    <w:rsid w:val="004514FD"/>
    <w:rsid w:val="00537482"/>
    <w:rsid w:val="005B603F"/>
    <w:rsid w:val="00686299"/>
    <w:rsid w:val="007A6ECA"/>
    <w:rsid w:val="007E1495"/>
    <w:rsid w:val="0086398F"/>
    <w:rsid w:val="008A27F3"/>
    <w:rsid w:val="008B63B5"/>
    <w:rsid w:val="00910C1C"/>
    <w:rsid w:val="009C648E"/>
    <w:rsid w:val="00A472F4"/>
    <w:rsid w:val="00A84A63"/>
    <w:rsid w:val="00AF7D06"/>
    <w:rsid w:val="00B4597E"/>
    <w:rsid w:val="00C14560"/>
    <w:rsid w:val="00C14A22"/>
    <w:rsid w:val="00CE65DF"/>
    <w:rsid w:val="00D50DE2"/>
    <w:rsid w:val="00D53E1C"/>
    <w:rsid w:val="00D67C84"/>
    <w:rsid w:val="00D854C9"/>
    <w:rsid w:val="00DB3C9D"/>
    <w:rsid w:val="00E003F9"/>
    <w:rsid w:val="00E90B7B"/>
    <w:rsid w:val="00E93B04"/>
    <w:rsid w:val="00EA47EC"/>
    <w:rsid w:val="00ED778E"/>
    <w:rsid w:val="00F05C15"/>
    <w:rsid w:val="00F34301"/>
    <w:rsid w:val="00F5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6494E3-7431-486D-B0CA-F909B833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8" w:line="249" w:lineRule="auto"/>
      <w:ind w:left="10" w:hanging="10"/>
      <w:jc w:val="both"/>
    </w:pPr>
    <w:rPr>
      <w:rFonts w:ascii="Arial" w:eastAsia="Arial" w:hAnsi="Arial" w:cs="Arial"/>
      <w:color w:val="000000"/>
      <w:sz w:val="18"/>
    </w:rPr>
  </w:style>
  <w:style w:type="paragraph" w:styleId="Heading1">
    <w:name w:val="heading 1"/>
    <w:next w:val="Normal"/>
    <w:link w:val="Heading1Char"/>
    <w:uiPriority w:val="9"/>
    <w:unhideWhenUsed/>
    <w:qFormat/>
    <w:pPr>
      <w:keepNext/>
      <w:keepLines/>
      <w:shd w:val="clear" w:color="auto" w:fill="CCCCCC"/>
      <w:spacing w:after="199"/>
      <w:ind w:right="158"/>
      <w:jc w:val="center"/>
      <w:outlineLvl w:val="0"/>
    </w:pPr>
    <w:rPr>
      <w:rFonts w:ascii="Rockwell" w:eastAsia="Rockwell" w:hAnsi="Rockwell" w:cs="Rockwell"/>
      <w:color w:val="000000"/>
      <w:sz w:val="36"/>
    </w:rPr>
  </w:style>
  <w:style w:type="paragraph" w:styleId="Heading2">
    <w:name w:val="heading 2"/>
    <w:next w:val="Normal"/>
    <w:link w:val="Heading2Char"/>
    <w:uiPriority w:val="9"/>
    <w:unhideWhenUsed/>
    <w:qFormat/>
    <w:pPr>
      <w:keepNext/>
      <w:keepLines/>
      <w:shd w:val="clear" w:color="auto" w:fill="CCCCCC"/>
      <w:spacing w:after="15"/>
      <w:ind w:left="10" w:right="253" w:hanging="10"/>
      <w:jc w:val="center"/>
      <w:outlineLvl w:val="1"/>
    </w:pPr>
    <w:rPr>
      <w:rFonts w:ascii="Rockwell" w:eastAsia="Rockwell" w:hAnsi="Rockwell" w:cs="Rockwell"/>
      <w:color w:val="000000"/>
      <w:sz w:val="33"/>
    </w:rPr>
  </w:style>
  <w:style w:type="paragraph" w:styleId="Heading3">
    <w:name w:val="heading 3"/>
    <w:next w:val="Normal"/>
    <w:link w:val="Heading3Char"/>
    <w:uiPriority w:val="9"/>
    <w:unhideWhenUsed/>
    <w:qFormat/>
    <w:pPr>
      <w:keepNext/>
      <w:keepLines/>
      <w:spacing w:after="0"/>
      <w:outlineLvl w:val="2"/>
    </w:pPr>
    <w:rPr>
      <w:rFonts w:ascii="Constantia" w:eastAsia="Constantia" w:hAnsi="Constantia" w:cs="Constantia"/>
      <w:b/>
      <w:i/>
      <w:color w:val="000000"/>
      <w:sz w:val="32"/>
    </w:rPr>
  </w:style>
  <w:style w:type="paragraph" w:styleId="Heading4">
    <w:name w:val="heading 4"/>
    <w:next w:val="Normal"/>
    <w:link w:val="Heading4Char"/>
    <w:uiPriority w:val="9"/>
    <w:unhideWhenUsed/>
    <w:qFormat/>
    <w:pPr>
      <w:keepNext/>
      <w:keepLines/>
      <w:shd w:val="clear" w:color="auto" w:fill="FFFF00"/>
      <w:spacing w:after="0"/>
      <w:ind w:left="199"/>
      <w:jc w:val="right"/>
      <w:outlineLvl w:val="3"/>
    </w:pPr>
    <w:rPr>
      <w:rFonts w:ascii="Rockwell" w:eastAsia="Rockwell" w:hAnsi="Rockwell" w:cs="Rockwel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Rockwell" w:eastAsia="Rockwell" w:hAnsi="Rockwell" w:cs="Rockwell"/>
      <w:b/>
      <w:color w:val="000000"/>
      <w:sz w:val="28"/>
    </w:rPr>
  </w:style>
  <w:style w:type="character" w:customStyle="1" w:styleId="Heading3Char">
    <w:name w:val="Heading 3 Char"/>
    <w:link w:val="Heading3"/>
    <w:rPr>
      <w:rFonts w:ascii="Constantia" w:eastAsia="Constantia" w:hAnsi="Constantia" w:cs="Constantia"/>
      <w:b/>
      <w:i/>
      <w:color w:val="000000"/>
      <w:sz w:val="32"/>
    </w:rPr>
  </w:style>
  <w:style w:type="character" w:customStyle="1" w:styleId="Heading2Char">
    <w:name w:val="Heading 2 Char"/>
    <w:link w:val="Heading2"/>
    <w:rPr>
      <w:rFonts w:ascii="Rockwell" w:eastAsia="Rockwell" w:hAnsi="Rockwell" w:cs="Rockwell"/>
      <w:color w:val="000000"/>
      <w:sz w:val="33"/>
    </w:rPr>
  </w:style>
  <w:style w:type="character" w:customStyle="1" w:styleId="Heading1Char">
    <w:name w:val="Heading 1 Char"/>
    <w:link w:val="Heading1"/>
    <w:rPr>
      <w:rFonts w:ascii="Rockwell" w:eastAsia="Rockwell" w:hAnsi="Rockwell" w:cs="Rockwell"/>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cp:lastModifiedBy>Jean Wolph</cp:lastModifiedBy>
  <cp:revision>3</cp:revision>
  <cp:lastPrinted>2018-01-25T00:08:00Z</cp:lastPrinted>
  <dcterms:created xsi:type="dcterms:W3CDTF">2021-11-19T22:11:00Z</dcterms:created>
  <dcterms:modified xsi:type="dcterms:W3CDTF">2021-12-03T15:03:00Z</dcterms:modified>
</cp:coreProperties>
</file>