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4FA0" w14:textId="77777777" w:rsidR="00152F63" w:rsidRPr="00502416" w:rsidRDefault="00152F63" w:rsidP="00127721">
      <w:pPr>
        <w:rPr>
          <w:rFonts w:ascii="Arial" w:hAnsi="Arial" w:cs="Arial"/>
        </w:rPr>
      </w:pPr>
      <w:r w:rsidRPr="00502416">
        <w:rPr>
          <w:rFonts w:ascii="Arial" w:hAnsi="Arial" w:cs="Arial"/>
          <w:noProof/>
        </w:rPr>
        <w:drawing>
          <wp:inline distT="0" distB="0" distL="0" distR="0" wp14:anchorId="2F4A70FA" wp14:editId="05FF4B6E">
            <wp:extent cx="1536192" cy="2049240"/>
            <wp:effectExtent l="0" t="0" r="635" b="0"/>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306" cy="2096081"/>
                    </a:xfrm>
                    <a:prstGeom prst="rect">
                      <a:avLst/>
                    </a:prstGeom>
                  </pic:spPr>
                </pic:pic>
              </a:graphicData>
            </a:graphic>
          </wp:inline>
        </w:drawing>
      </w:r>
    </w:p>
    <w:p w14:paraId="307FD87D" w14:textId="18AEB93E" w:rsidR="00127721" w:rsidRPr="00502416" w:rsidRDefault="00127721" w:rsidP="00127721">
      <w:pPr>
        <w:rPr>
          <w:rFonts w:ascii="Arial" w:hAnsi="Arial" w:cs="Arial"/>
        </w:rPr>
      </w:pPr>
      <w:r w:rsidRPr="00502416">
        <w:rPr>
          <w:rFonts w:ascii="Arial" w:hAnsi="Arial" w:cs="Arial"/>
        </w:rPr>
        <w:t xml:space="preserve">Morgan </w:t>
      </w:r>
      <w:proofErr w:type="spellStart"/>
      <w:r w:rsidRPr="00502416">
        <w:rPr>
          <w:rFonts w:ascii="Arial" w:hAnsi="Arial" w:cs="Arial"/>
        </w:rPr>
        <w:t>Balabanoff</w:t>
      </w:r>
      <w:proofErr w:type="spellEnd"/>
    </w:p>
    <w:p w14:paraId="33A109CE" w14:textId="772E3ACF" w:rsidR="00127721" w:rsidRPr="00502416" w:rsidRDefault="00127721" w:rsidP="00127721">
      <w:pPr>
        <w:rPr>
          <w:rFonts w:ascii="Arial" w:hAnsi="Arial" w:cs="Arial"/>
        </w:rPr>
      </w:pPr>
      <w:r w:rsidRPr="00502416">
        <w:rPr>
          <w:rFonts w:ascii="Arial" w:hAnsi="Arial" w:cs="Arial"/>
        </w:rPr>
        <w:t>Assistant Professor</w:t>
      </w:r>
    </w:p>
    <w:p w14:paraId="43931155" w14:textId="22D8B954" w:rsidR="00074C2F" w:rsidRPr="00502416" w:rsidRDefault="00074C2F" w:rsidP="00127721">
      <w:pPr>
        <w:rPr>
          <w:rFonts w:ascii="Arial" w:hAnsi="Arial" w:cs="Arial"/>
        </w:rPr>
      </w:pPr>
      <w:hyperlink r:id="rId7" w:history="1">
        <w:r w:rsidRPr="00502416">
          <w:rPr>
            <w:rStyle w:val="Hyperlink"/>
            <w:rFonts w:ascii="Arial" w:hAnsi="Arial" w:cs="Arial"/>
          </w:rPr>
          <w:t>morgan.balabanoff@louisville.edu</w:t>
        </w:r>
      </w:hyperlink>
    </w:p>
    <w:p w14:paraId="75DE35AB" w14:textId="1A42E45E" w:rsidR="00074C2F" w:rsidRPr="00502416" w:rsidRDefault="00074C2F" w:rsidP="00127721">
      <w:pPr>
        <w:rPr>
          <w:rFonts w:ascii="Arial" w:hAnsi="Arial" w:cs="Arial"/>
        </w:rPr>
      </w:pPr>
      <w:r w:rsidRPr="00074C2F">
        <w:rPr>
          <w:rFonts w:ascii="Arial" w:hAnsi="Arial" w:cs="Arial"/>
        </w:rPr>
        <w:t>(502) 852-7296</w:t>
      </w:r>
    </w:p>
    <w:p w14:paraId="71A8C700" w14:textId="073687C2" w:rsidR="00074C2F" w:rsidRPr="00502416" w:rsidRDefault="00074C2F" w:rsidP="00127721">
      <w:pPr>
        <w:rPr>
          <w:rFonts w:ascii="Arial" w:hAnsi="Arial" w:cs="Arial"/>
        </w:rPr>
      </w:pPr>
      <w:r w:rsidRPr="00502416">
        <w:rPr>
          <w:rFonts w:ascii="Arial" w:hAnsi="Arial" w:cs="Arial"/>
        </w:rPr>
        <w:t>Chemistry Building 322</w:t>
      </w:r>
    </w:p>
    <w:p w14:paraId="5202D7FF" w14:textId="74C5CD12" w:rsidR="00D35AB0" w:rsidRPr="00502416" w:rsidRDefault="00D35AB0" w:rsidP="00127721">
      <w:pPr>
        <w:rPr>
          <w:rFonts w:ascii="Arial" w:hAnsi="Arial" w:cs="Arial"/>
        </w:rPr>
      </w:pPr>
      <w:r w:rsidRPr="00502416">
        <w:rPr>
          <w:rFonts w:ascii="Arial" w:hAnsi="Arial" w:cs="Arial"/>
        </w:rPr>
        <w:t xml:space="preserve">Research interests: Chemistry Education, </w:t>
      </w:r>
      <w:r w:rsidR="00152F63" w:rsidRPr="00502416">
        <w:rPr>
          <w:rFonts w:ascii="Arial" w:hAnsi="Arial" w:cs="Arial"/>
        </w:rPr>
        <w:t>assessment, foundational chemistry concepts</w:t>
      </w:r>
    </w:p>
    <w:p w14:paraId="4401E7DF" w14:textId="77777777" w:rsidR="00127721" w:rsidRPr="00502416" w:rsidRDefault="00127721" w:rsidP="00127721">
      <w:pPr>
        <w:rPr>
          <w:rFonts w:ascii="Arial" w:hAnsi="Arial" w:cs="Arial"/>
        </w:rPr>
      </w:pPr>
    </w:p>
    <w:p w14:paraId="18292D28" w14:textId="77777777" w:rsidR="00127721" w:rsidRPr="00502416" w:rsidRDefault="00127721" w:rsidP="00127721">
      <w:pPr>
        <w:rPr>
          <w:rFonts w:ascii="Arial" w:hAnsi="Arial" w:cs="Arial"/>
          <w:u w:val="single"/>
        </w:rPr>
      </w:pPr>
      <w:r w:rsidRPr="00502416">
        <w:rPr>
          <w:rFonts w:ascii="Arial" w:hAnsi="Arial" w:cs="Arial"/>
          <w:u w:val="single"/>
        </w:rPr>
        <w:t>Education</w:t>
      </w:r>
    </w:p>
    <w:p w14:paraId="7EB61485" w14:textId="77777777" w:rsidR="00127721" w:rsidRPr="00502416" w:rsidRDefault="00127721" w:rsidP="00152F63">
      <w:pPr>
        <w:rPr>
          <w:rFonts w:ascii="Arial" w:hAnsi="Arial" w:cs="Arial"/>
        </w:rPr>
      </w:pPr>
      <w:r w:rsidRPr="00502416">
        <w:rPr>
          <w:rFonts w:ascii="Arial" w:hAnsi="Arial" w:cs="Arial"/>
        </w:rPr>
        <w:t>Postdoctoral Fellow, Chemistry Education</w:t>
      </w:r>
    </w:p>
    <w:p w14:paraId="2A3E2CFA" w14:textId="77777777" w:rsidR="00127721" w:rsidRPr="00502416" w:rsidRDefault="00127721" w:rsidP="00127721">
      <w:pPr>
        <w:rPr>
          <w:rFonts w:ascii="Arial" w:hAnsi="Arial" w:cs="Arial"/>
        </w:rPr>
      </w:pPr>
      <w:r w:rsidRPr="00502416">
        <w:rPr>
          <w:rFonts w:ascii="Arial" w:hAnsi="Arial" w:cs="Arial"/>
        </w:rPr>
        <w:t>University of Nebraska – Lincoln</w:t>
      </w:r>
    </w:p>
    <w:p w14:paraId="2E5033A2" w14:textId="77777777" w:rsidR="00127721" w:rsidRPr="00502416" w:rsidRDefault="00127721" w:rsidP="00127721">
      <w:pPr>
        <w:rPr>
          <w:rFonts w:ascii="Arial" w:hAnsi="Arial" w:cs="Arial"/>
        </w:rPr>
      </w:pPr>
      <w:r w:rsidRPr="00502416">
        <w:rPr>
          <w:rFonts w:ascii="Arial" w:hAnsi="Arial" w:cs="Arial"/>
        </w:rPr>
        <w:t>Lincoln, NE</w:t>
      </w:r>
    </w:p>
    <w:p w14:paraId="55D9AC43" w14:textId="77777777" w:rsidR="00127721" w:rsidRPr="00502416" w:rsidRDefault="00127721" w:rsidP="00127721">
      <w:pPr>
        <w:rPr>
          <w:rFonts w:ascii="Arial" w:hAnsi="Arial" w:cs="Arial"/>
        </w:rPr>
      </w:pPr>
      <w:r w:rsidRPr="00502416">
        <w:rPr>
          <w:rFonts w:ascii="Arial" w:hAnsi="Arial" w:cs="Arial"/>
        </w:rPr>
        <w:t>November 2021</w:t>
      </w:r>
    </w:p>
    <w:p w14:paraId="1AB25B16" w14:textId="77777777" w:rsidR="00127721" w:rsidRPr="00502416" w:rsidRDefault="00127721" w:rsidP="00127721">
      <w:pPr>
        <w:rPr>
          <w:rFonts w:ascii="Arial" w:hAnsi="Arial" w:cs="Arial"/>
        </w:rPr>
      </w:pPr>
    </w:p>
    <w:p w14:paraId="475D1F2D" w14:textId="77777777" w:rsidR="00127721" w:rsidRPr="00502416" w:rsidRDefault="00127721" w:rsidP="00127721">
      <w:pPr>
        <w:rPr>
          <w:rFonts w:ascii="Arial" w:hAnsi="Arial" w:cs="Arial"/>
        </w:rPr>
      </w:pPr>
      <w:r w:rsidRPr="00502416">
        <w:rPr>
          <w:rFonts w:ascii="Arial" w:hAnsi="Arial" w:cs="Arial"/>
        </w:rPr>
        <w:t>Ph.D., Physical Chemistry</w:t>
      </w:r>
    </w:p>
    <w:p w14:paraId="5A81E66D" w14:textId="77777777" w:rsidR="00127721" w:rsidRPr="00502416" w:rsidRDefault="00127721" w:rsidP="00127721">
      <w:pPr>
        <w:rPr>
          <w:rFonts w:ascii="Arial" w:hAnsi="Arial" w:cs="Arial"/>
        </w:rPr>
      </w:pPr>
      <w:r w:rsidRPr="00502416">
        <w:rPr>
          <w:rFonts w:ascii="Arial" w:hAnsi="Arial" w:cs="Arial"/>
        </w:rPr>
        <w:t>University of Wyoming</w:t>
      </w:r>
    </w:p>
    <w:p w14:paraId="4471BEB6" w14:textId="77777777" w:rsidR="00127721" w:rsidRPr="00502416" w:rsidRDefault="00127721" w:rsidP="00127721">
      <w:pPr>
        <w:rPr>
          <w:rFonts w:ascii="Arial" w:hAnsi="Arial" w:cs="Arial"/>
        </w:rPr>
      </w:pPr>
      <w:r w:rsidRPr="00502416">
        <w:rPr>
          <w:rFonts w:ascii="Arial" w:hAnsi="Arial" w:cs="Arial"/>
        </w:rPr>
        <w:t>Laramie, WY</w:t>
      </w:r>
    </w:p>
    <w:p w14:paraId="5AAE2129" w14:textId="77777777" w:rsidR="00127721" w:rsidRPr="00502416" w:rsidRDefault="00127721" w:rsidP="00127721">
      <w:pPr>
        <w:rPr>
          <w:rFonts w:ascii="Arial" w:hAnsi="Arial" w:cs="Arial"/>
        </w:rPr>
      </w:pPr>
      <w:r w:rsidRPr="00502416">
        <w:rPr>
          <w:rFonts w:ascii="Arial" w:hAnsi="Arial" w:cs="Arial"/>
        </w:rPr>
        <w:t>July 2018</w:t>
      </w:r>
    </w:p>
    <w:p w14:paraId="653B01F3" w14:textId="77777777" w:rsidR="00127721" w:rsidRPr="00502416" w:rsidRDefault="00127721" w:rsidP="00127721">
      <w:pPr>
        <w:rPr>
          <w:rFonts w:ascii="Arial" w:hAnsi="Arial" w:cs="Arial"/>
        </w:rPr>
      </w:pPr>
    </w:p>
    <w:p w14:paraId="23C6C23D" w14:textId="77777777" w:rsidR="00127721" w:rsidRPr="00502416" w:rsidRDefault="00127721" w:rsidP="00127721">
      <w:pPr>
        <w:rPr>
          <w:rFonts w:ascii="Arial" w:hAnsi="Arial" w:cs="Arial"/>
        </w:rPr>
      </w:pPr>
      <w:r w:rsidRPr="00502416">
        <w:rPr>
          <w:rFonts w:ascii="Arial" w:hAnsi="Arial" w:cs="Arial"/>
        </w:rPr>
        <w:t>B.S., Chemistry</w:t>
      </w:r>
    </w:p>
    <w:p w14:paraId="1B165469" w14:textId="77777777" w:rsidR="00127721" w:rsidRPr="00502416" w:rsidRDefault="00127721" w:rsidP="00127721">
      <w:pPr>
        <w:rPr>
          <w:rFonts w:ascii="Arial" w:hAnsi="Arial" w:cs="Arial"/>
        </w:rPr>
      </w:pPr>
      <w:r w:rsidRPr="00502416">
        <w:rPr>
          <w:rFonts w:ascii="Arial" w:hAnsi="Arial" w:cs="Arial"/>
        </w:rPr>
        <w:t>Creighton University</w:t>
      </w:r>
    </w:p>
    <w:p w14:paraId="42B1071A" w14:textId="77777777" w:rsidR="00127721" w:rsidRPr="00502416" w:rsidRDefault="00127721" w:rsidP="00127721">
      <w:pPr>
        <w:rPr>
          <w:rFonts w:ascii="Arial" w:hAnsi="Arial" w:cs="Arial"/>
        </w:rPr>
      </w:pPr>
      <w:r w:rsidRPr="00502416">
        <w:rPr>
          <w:rFonts w:ascii="Arial" w:hAnsi="Arial" w:cs="Arial"/>
        </w:rPr>
        <w:t>Omaha, NE</w:t>
      </w:r>
    </w:p>
    <w:p w14:paraId="1C6A4AD0" w14:textId="77777777" w:rsidR="00127721" w:rsidRPr="00502416" w:rsidRDefault="00127721" w:rsidP="00127721">
      <w:pPr>
        <w:rPr>
          <w:rFonts w:ascii="Arial" w:hAnsi="Arial" w:cs="Arial"/>
        </w:rPr>
      </w:pPr>
      <w:r w:rsidRPr="00502416">
        <w:rPr>
          <w:rFonts w:ascii="Arial" w:hAnsi="Arial" w:cs="Arial"/>
        </w:rPr>
        <w:t>May 2013</w:t>
      </w:r>
    </w:p>
    <w:p w14:paraId="34C4C349" w14:textId="77777777" w:rsidR="00127721" w:rsidRPr="00502416" w:rsidRDefault="00127721" w:rsidP="00127721">
      <w:pPr>
        <w:rPr>
          <w:rFonts w:ascii="Arial" w:hAnsi="Arial" w:cs="Arial"/>
        </w:rPr>
      </w:pPr>
    </w:p>
    <w:p w14:paraId="7B84AA6C" w14:textId="77777777" w:rsidR="00127721" w:rsidRPr="00502416" w:rsidRDefault="00127721" w:rsidP="00127721">
      <w:pPr>
        <w:rPr>
          <w:rFonts w:ascii="Arial" w:hAnsi="Arial" w:cs="Arial"/>
          <w:u w:val="single"/>
        </w:rPr>
      </w:pPr>
      <w:r w:rsidRPr="00502416">
        <w:rPr>
          <w:rFonts w:ascii="Arial" w:hAnsi="Arial" w:cs="Arial"/>
          <w:u w:val="single"/>
        </w:rPr>
        <w:t>Recent Publications</w:t>
      </w:r>
    </w:p>
    <w:p w14:paraId="048AAD86" w14:textId="383F1192" w:rsidR="00127721" w:rsidRPr="00502416" w:rsidRDefault="00127721">
      <w:pPr>
        <w:rPr>
          <w:rFonts w:ascii="Arial" w:hAnsi="Arial" w:cs="Arial"/>
        </w:rPr>
      </w:pPr>
      <w:proofErr w:type="spellStart"/>
      <w:r w:rsidRPr="00502416">
        <w:rPr>
          <w:rFonts w:ascii="Arial" w:eastAsia="Times New Roman" w:hAnsi="Arial" w:cs="Arial"/>
          <w:b/>
          <w:bCs/>
        </w:rPr>
        <w:t>Balabanoff</w:t>
      </w:r>
      <w:proofErr w:type="spellEnd"/>
      <w:r w:rsidRPr="00502416">
        <w:rPr>
          <w:rFonts w:ascii="Arial" w:eastAsia="Times New Roman" w:hAnsi="Arial" w:cs="Arial"/>
          <w:b/>
          <w:bCs/>
        </w:rPr>
        <w:t>, M.</w:t>
      </w:r>
      <w:r w:rsidRPr="00502416">
        <w:rPr>
          <w:rFonts w:ascii="Arial" w:eastAsia="Times New Roman" w:hAnsi="Arial" w:cs="Arial"/>
        </w:rPr>
        <w:t xml:space="preserve">; al </w:t>
      </w:r>
      <w:proofErr w:type="spellStart"/>
      <w:r w:rsidRPr="00502416">
        <w:rPr>
          <w:rFonts w:ascii="Arial" w:eastAsia="Times New Roman" w:hAnsi="Arial" w:cs="Arial"/>
        </w:rPr>
        <w:t>Fulaiti</w:t>
      </w:r>
      <w:proofErr w:type="spellEnd"/>
      <w:r w:rsidRPr="00502416">
        <w:rPr>
          <w:rFonts w:ascii="Arial" w:eastAsia="Times New Roman" w:hAnsi="Arial" w:cs="Arial"/>
        </w:rPr>
        <w:t xml:space="preserve">, H.; </w:t>
      </w:r>
      <w:proofErr w:type="spellStart"/>
      <w:r w:rsidRPr="00502416">
        <w:rPr>
          <w:rFonts w:ascii="Arial" w:eastAsia="Times New Roman" w:hAnsi="Arial" w:cs="Arial"/>
        </w:rPr>
        <w:t>DeKorver</w:t>
      </w:r>
      <w:proofErr w:type="spellEnd"/>
      <w:r w:rsidRPr="00502416">
        <w:rPr>
          <w:rFonts w:ascii="Arial" w:eastAsia="Times New Roman" w:hAnsi="Arial" w:cs="Arial"/>
        </w:rPr>
        <w:t xml:space="preserve">, B.; Mack, M.; Moon, A. Development of the Water Instrument: A Comprehensive Measure of Students’ Knowledge of Fundamental Concepts in General Chemistry. </w:t>
      </w:r>
      <w:r w:rsidRPr="00502416">
        <w:rPr>
          <w:rFonts w:ascii="Arial" w:eastAsia="Times New Roman" w:hAnsi="Arial" w:cs="Arial"/>
          <w:i/>
          <w:iCs/>
        </w:rPr>
        <w:t>Chemistry Education Research and Practice</w:t>
      </w:r>
      <w:r w:rsidRPr="00502416">
        <w:rPr>
          <w:rFonts w:ascii="Arial" w:eastAsia="Times New Roman" w:hAnsi="Arial" w:cs="Arial"/>
        </w:rPr>
        <w:t xml:space="preserve"> </w:t>
      </w:r>
      <w:r w:rsidRPr="00502416">
        <w:rPr>
          <w:rFonts w:ascii="Arial" w:eastAsia="Times New Roman" w:hAnsi="Arial" w:cs="Arial"/>
          <w:b/>
          <w:bCs/>
        </w:rPr>
        <w:t>2022</w:t>
      </w:r>
      <w:r w:rsidRPr="00502416">
        <w:rPr>
          <w:rFonts w:ascii="Arial" w:eastAsia="Times New Roman" w:hAnsi="Arial" w:cs="Arial"/>
        </w:rPr>
        <w:t xml:space="preserve">. </w:t>
      </w:r>
      <w:hyperlink r:id="rId8" w:history="1">
        <w:r w:rsidRPr="00502416">
          <w:rPr>
            <w:rStyle w:val="Hyperlink"/>
            <w:rFonts w:ascii="Arial" w:eastAsia="Times New Roman" w:hAnsi="Arial" w:cs="Arial"/>
          </w:rPr>
          <w:t>https://doi.org/10.1039/D1RP00270H</w:t>
        </w:r>
      </w:hyperlink>
      <w:r w:rsidRPr="00502416">
        <w:rPr>
          <w:rFonts w:ascii="Arial" w:eastAsia="Times New Roman" w:hAnsi="Arial" w:cs="Arial"/>
        </w:rPr>
        <w:t>.</w:t>
      </w:r>
    </w:p>
    <w:p w14:paraId="28E25915" w14:textId="69020C46" w:rsidR="00127721" w:rsidRPr="00502416" w:rsidRDefault="00127721">
      <w:pPr>
        <w:rPr>
          <w:rFonts w:ascii="Arial" w:eastAsia="Times New Roman" w:hAnsi="Arial" w:cs="Arial"/>
        </w:rPr>
      </w:pPr>
    </w:p>
    <w:p w14:paraId="0E9DD716" w14:textId="0F2951AD" w:rsidR="00127721" w:rsidRPr="00502416" w:rsidRDefault="00127721">
      <w:pPr>
        <w:rPr>
          <w:rFonts w:ascii="Arial" w:eastAsia="Times New Roman" w:hAnsi="Arial" w:cs="Arial"/>
        </w:rPr>
      </w:pPr>
      <w:r w:rsidRPr="00502416">
        <w:rPr>
          <w:rFonts w:ascii="Arial" w:eastAsia="Times New Roman" w:hAnsi="Arial" w:cs="Arial"/>
        </w:rPr>
        <w:t xml:space="preserve">Lazenby, K.; </w:t>
      </w:r>
      <w:proofErr w:type="spellStart"/>
      <w:r w:rsidRPr="00502416">
        <w:rPr>
          <w:rFonts w:ascii="Arial" w:eastAsia="Times New Roman" w:hAnsi="Arial" w:cs="Arial"/>
          <w:b/>
          <w:bCs/>
        </w:rPr>
        <w:t>Balabanoff</w:t>
      </w:r>
      <w:proofErr w:type="spellEnd"/>
      <w:r w:rsidRPr="00502416">
        <w:rPr>
          <w:rFonts w:ascii="Arial" w:eastAsia="Times New Roman" w:hAnsi="Arial" w:cs="Arial"/>
          <w:b/>
          <w:bCs/>
        </w:rPr>
        <w:t>, M.</w:t>
      </w:r>
      <w:r w:rsidRPr="00502416">
        <w:rPr>
          <w:rFonts w:ascii="Arial" w:eastAsia="Times New Roman" w:hAnsi="Arial" w:cs="Arial"/>
        </w:rPr>
        <w:t xml:space="preserve">; Becker, N.; Moon, A.; Barbera, J. From Ideas to Items: A Primer on the Development of Ordered Multiple-Choice Items for Investigating the Progression of Learning in Higher Education STEM. </w:t>
      </w:r>
      <w:r w:rsidRPr="00502416">
        <w:rPr>
          <w:rFonts w:ascii="Arial" w:eastAsia="Times New Roman" w:hAnsi="Arial" w:cs="Arial"/>
          <w:i/>
          <w:iCs/>
        </w:rPr>
        <w:t>Journal of Chemical Education</w:t>
      </w:r>
      <w:r w:rsidRPr="00502416">
        <w:rPr>
          <w:rFonts w:ascii="Arial" w:eastAsia="Times New Roman" w:hAnsi="Arial" w:cs="Arial"/>
        </w:rPr>
        <w:t xml:space="preserve"> </w:t>
      </w:r>
      <w:r w:rsidRPr="00502416">
        <w:rPr>
          <w:rFonts w:ascii="Arial" w:eastAsia="Times New Roman" w:hAnsi="Arial" w:cs="Arial"/>
          <w:b/>
          <w:bCs/>
        </w:rPr>
        <w:t>2021</w:t>
      </w:r>
      <w:r w:rsidRPr="00502416">
        <w:rPr>
          <w:rFonts w:ascii="Arial" w:eastAsia="Times New Roman" w:hAnsi="Arial" w:cs="Arial"/>
        </w:rPr>
        <w:t xml:space="preserve"> </w:t>
      </w:r>
      <w:r w:rsidRPr="00502416">
        <w:rPr>
          <w:rFonts w:ascii="Arial" w:eastAsia="Times New Roman" w:hAnsi="Arial" w:cs="Arial"/>
          <w:i/>
          <w:iCs/>
        </w:rPr>
        <w:t>98</w:t>
      </w:r>
      <w:r w:rsidRPr="00502416">
        <w:rPr>
          <w:rFonts w:ascii="Arial" w:eastAsia="Times New Roman" w:hAnsi="Arial" w:cs="Arial"/>
        </w:rPr>
        <w:t xml:space="preserve"> (3), 714–729.</w:t>
      </w:r>
      <w:r w:rsidRPr="00502416">
        <w:rPr>
          <w:rFonts w:ascii="Arial" w:eastAsia="Times New Roman" w:hAnsi="Arial" w:cs="Arial"/>
        </w:rPr>
        <w:t xml:space="preserve"> </w:t>
      </w:r>
      <w:hyperlink r:id="rId9" w:history="1">
        <w:r w:rsidRPr="00502416">
          <w:rPr>
            <w:rStyle w:val="Hyperlink"/>
            <w:rFonts w:ascii="Arial" w:eastAsia="Times New Roman" w:hAnsi="Arial" w:cs="Arial"/>
          </w:rPr>
          <w:t>https://doi.org/10.1021/acs.jchemed.0c01121</w:t>
        </w:r>
      </w:hyperlink>
      <w:r w:rsidRPr="00502416">
        <w:rPr>
          <w:rFonts w:ascii="Arial" w:eastAsia="Times New Roman" w:hAnsi="Arial" w:cs="Arial"/>
        </w:rPr>
        <w:t>.</w:t>
      </w:r>
    </w:p>
    <w:p w14:paraId="3BC1A441" w14:textId="77777777" w:rsidR="00127721" w:rsidRPr="00502416" w:rsidRDefault="00127721">
      <w:pPr>
        <w:rPr>
          <w:rFonts w:ascii="Arial" w:eastAsia="Times New Roman" w:hAnsi="Arial" w:cs="Arial"/>
        </w:rPr>
      </w:pPr>
    </w:p>
    <w:p w14:paraId="79AC64DE" w14:textId="3C4F199A" w:rsidR="00127721" w:rsidRPr="00502416" w:rsidRDefault="00127721" w:rsidP="00127721">
      <w:pPr>
        <w:autoSpaceDE w:val="0"/>
        <w:autoSpaceDN w:val="0"/>
        <w:rPr>
          <w:rFonts w:ascii="Arial" w:eastAsia="Times New Roman" w:hAnsi="Arial" w:cs="Arial"/>
        </w:rPr>
      </w:pPr>
      <w:proofErr w:type="spellStart"/>
      <w:r w:rsidRPr="00502416">
        <w:rPr>
          <w:rFonts w:ascii="Arial" w:eastAsia="Times New Roman" w:hAnsi="Arial" w:cs="Arial"/>
          <w:b/>
          <w:bCs/>
        </w:rPr>
        <w:lastRenderedPageBreak/>
        <w:t>Balabanoff</w:t>
      </w:r>
      <w:proofErr w:type="spellEnd"/>
      <w:r w:rsidRPr="00502416">
        <w:rPr>
          <w:rFonts w:ascii="Arial" w:eastAsia="Times New Roman" w:hAnsi="Arial" w:cs="Arial"/>
          <w:b/>
          <w:bCs/>
        </w:rPr>
        <w:t>, M. E.</w:t>
      </w:r>
      <w:r w:rsidRPr="00502416">
        <w:rPr>
          <w:rFonts w:ascii="Arial" w:eastAsia="Times New Roman" w:hAnsi="Arial" w:cs="Arial"/>
        </w:rPr>
        <w:t xml:space="preserve">; al </w:t>
      </w:r>
      <w:proofErr w:type="spellStart"/>
      <w:r w:rsidRPr="00502416">
        <w:rPr>
          <w:rFonts w:ascii="Arial" w:eastAsia="Times New Roman" w:hAnsi="Arial" w:cs="Arial"/>
        </w:rPr>
        <w:t>Fulaiti</w:t>
      </w:r>
      <w:proofErr w:type="spellEnd"/>
      <w:r w:rsidRPr="00502416">
        <w:rPr>
          <w:rFonts w:ascii="Arial" w:eastAsia="Times New Roman" w:hAnsi="Arial" w:cs="Arial"/>
        </w:rPr>
        <w:t xml:space="preserve">, H.; </w:t>
      </w:r>
      <w:proofErr w:type="spellStart"/>
      <w:r w:rsidRPr="00502416">
        <w:rPr>
          <w:rFonts w:ascii="Arial" w:eastAsia="Times New Roman" w:hAnsi="Arial" w:cs="Arial"/>
        </w:rPr>
        <w:t>Bhusal</w:t>
      </w:r>
      <w:proofErr w:type="spellEnd"/>
      <w:r w:rsidRPr="00502416">
        <w:rPr>
          <w:rFonts w:ascii="Arial" w:eastAsia="Times New Roman" w:hAnsi="Arial" w:cs="Arial"/>
        </w:rPr>
        <w:t xml:space="preserve">, S.; Harrold, A.; Moon, A. C. An Exploration of Chemistry Students’ Conceptions of Light and Light-Matter Interactions in the Context of the Photoelectric Effect. </w:t>
      </w:r>
      <w:r w:rsidRPr="00502416">
        <w:rPr>
          <w:rFonts w:ascii="Arial" w:eastAsia="Times New Roman" w:hAnsi="Arial" w:cs="Arial"/>
          <w:i/>
          <w:iCs/>
        </w:rPr>
        <w:t>Int. J. Sci. Educ.</w:t>
      </w:r>
      <w:r w:rsidRPr="00502416">
        <w:rPr>
          <w:rFonts w:ascii="Arial" w:eastAsia="Times New Roman" w:hAnsi="Arial" w:cs="Arial"/>
        </w:rPr>
        <w:t xml:space="preserve"> </w:t>
      </w:r>
      <w:r w:rsidRPr="00502416">
        <w:rPr>
          <w:rFonts w:ascii="Arial" w:eastAsia="Times New Roman" w:hAnsi="Arial" w:cs="Arial"/>
          <w:b/>
          <w:bCs/>
        </w:rPr>
        <w:t>2020</w:t>
      </w:r>
      <w:r w:rsidRPr="00502416">
        <w:rPr>
          <w:rFonts w:ascii="Arial" w:eastAsia="Times New Roman" w:hAnsi="Arial" w:cs="Arial"/>
        </w:rPr>
        <w:t xml:space="preserve">, </w:t>
      </w:r>
      <w:r w:rsidRPr="00502416">
        <w:rPr>
          <w:rFonts w:ascii="Arial" w:eastAsia="Times New Roman" w:hAnsi="Arial" w:cs="Arial"/>
          <w:i/>
          <w:iCs/>
        </w:rPr>
        <w:t>42</w:t>
      </w:r>
      <w:r w:rsidRPr="00502416">
        <w:rPr>
          <w:rFonts w:ascii="Arial" w:eastAsia="Times New Roman" w:hAnsi="Arial" w:cs="Arial"/>
        </w:rPr>
        <w:t xml:space="preserve"> (6), 861.</w:t>
      </w:r>
      <w:r w:rsidRPr="00502416">
        <w:rPr>
          <w:rFonts w:ascii="Arial" w:eastAsia="Times New Roman" w:hAnsi="Arial" w:cs="Arial"/>
        </w:rPr>
        <w:t xml:space="preserve"> </w:t>
      </w:r>
    </w:p>
    <w:p w14:paraId="0C3E6DE5" w14:textId="7114644C" w:rsidR="00127721" w:rsidRPr="00502416" w:rsidRDefault="00127721">
      <w:pPr>
        <w:rPr>
          <w:rFonts w:ascii="Arial" w:hAnsi="Arial" w:cs="Arial"/>
        </w:rPr>
      </w:pPr>
    </w:p>
    <w:p w14:paraId="6F651C47" w14:textId="0108A62C" w:rsidR="00CE1451" w:rsidRPr="00502416" w:rsidRDefault="00CE1451">
      <w:pPr>
        <w:rPr>
          <w:rFonts w:ascii="Arial" w:hAnsi="Arial" w:cs="Arial"/>
          <w:u w:val="single"/>
        </w:rPr>
      </w:pPr>
      <w:r w:rsidRPr="00502416">
        <w:rPr>
          <w:rFonts w:ascii="Arial" w:hAnsi="Arial" w:cs="Arial"/>
          <w:u w:val="single"/>
        </w:rPr>
        <w:t>Bio</w:t>
      </w:r>
    </w:p>
    <w:p w14:paraId="76C39EAA" w14:textId="349AAF77" w:rsidR="00CE1451" w:rsidRPr="00502416" w:rsidRDefault="00CE1451" w:rsidP="00074C2F">
      <w:pPr>
        <w:rPr>
          <w:rFonts w:ascii="Arial" w:hAnsi="Arial" w:cs="Arial"/>
        </w:rPr>
      </w:pPr>
      <w:r w:rsidRPr="00502416">
        <w:rPr>
          <w:rFonts w:ascii="Arial" w:hAnsi="Arial" w:cs="Arial"/>
        </w:rPr>
        <w:t>Our research group is focused on developing assessment instruments</w:t>
      </w:r>
      <w:r w:rsidR="00CA4B3B" w:rsidRPr="00502416">
        <w:rPr>
          <w:rFonts w:ascii="Arial" w:hAnsi="Arial" w:cs="Arial"/>
        </w:rPr>
        <w:t xml:space="preserve"> to measure students’ understanding of chemistry concepts</w:t>
      </w:r>
      <w:r w:rsidR="00074C2F" w:rsidRPr="00502416">
        <w:rPr>
          <w:rFonts w:ascii="Arial" w:hAnsi="Arial" w:cs="Arial"/>
        </w:rPr>
        <w:t xml:space="preserve">. </w:t>
      </w:r>
      <w:r w:rsidR="00074C2F" w:rsidRPr="00502416">
        <w:rPr>
          <w:rFonts w:ascii="Arial" w:hAnsi="Arial" w:cs="Arial"/>
        </w:rPr>
        <w:t>Currently, we are working on an assessment for the year-long sequence of general chemistry</w:t>
      </w:r>
      <w:r w:rsidR="00CA4B3B" w:rsidRPr="00502416">
        <w:rPr>
          <w:rFonts w:ascii="Arial" w:hAnsi="Arial" w:cs="Arial"/>
        </w:rPr>
        <w:t>.</w:t>
      </w:r>
      <w:r w:rsidR="00074C2F" w:rsidRPr="00502416">
        <w:rPr>
          <w:rFonts w:ascii="Arial" w:hAnsi="Arial" w:cs="Arial"/>
        </w:rPr>
        <w:t xml:space="preserve"> </w:t>
      </w:r>
      <w:r w:rsidR="00074C2F" w:rsidRPr="00502416">
        <w:rPr>
          <w:rFonts w:ascii="Arial" w:hAnsi="Arial" w:cs="Arial"/>
        </w:rPr>
        <w:t xml:space="preserve">General Chemistry serves </w:t>
      </w:r>
      <w:r w:rsidR="00502416" w:rsidRPr="00502416">
        <w:rPr>
          <w:rFonts w:ascii="Arial" w:hAnsi="Arial" w:cs="Arial"/>
        </w:rPr>
        <w:t>many</w:t>
      </w:r>
      <w:r w:rsidR="00074C2F" w:rsidRPr="00502416">
        <w:rPr>
          <w:rFonts w:ascii="Arial" w:hAnsi="Arial" w:cs="Arial"/>
        </w:rPr>
        <w:t xml:space="preserve"> students</w:t>
      </w:r>
      <w:r w:rsidR="00502416" w:rsidRPr="00502416">
        <w:rPr>
          <w:rFonts w:ascii="Arial" w:hAnsi="Arial" w:cs="Arial"/>
        </w:rPr>
        <w:t xml:space="preserve"> across a variety of disciplines</w:t>
      </w:r>
      <w:r w:rsidR="00074C2F" w:rsidRPr="00502416">
        <w:rPr>
          <w:rFonts w:ascii="Arial" w:hAnsi="Arial" w:cs="Arial"/>
        </w:rPr>
        <w:t xml:space="preserve"> each year and</w:t>
      </w:r>
      <w:r w:rsidR="00074C2F" w:rsidRPr="00502416">
        <w:rPr>
          <w:rFonts w:ascii="Arial" w:hAnsi="Arial" w:cs="Arial"/>
        </w:rPr>
        <w:t xml:space="preserve"> few resources exist to assess students’ understanding or measure the efficacy of curricular reform. </w:t>
      </w:r>
      <w:r w:rsidR="00CA4B3B" w:rsidRPr="00502416">
        <w:rPr>
          <w:rFonts w:ascii="Arial" w:hAnsi="Arial" w:cs="Arial"/>
        </w:rPr>
        <w:t xml:space="preserve"> </w:t>
      </w:r>
      <w:r w:rsidR="00502416" w:rsidRPr="00502416">
        <w:rPr>
          <w:rFonts w:ascii="Arial" w:hAnsi="Arial" w:cs="Arial"/>
        </w:rPr>
        <w:t xml:space="preserve">This assessment is unique in two ways: (1) it is entirely contextualized in water for accessibility </w:t>
      </w:r>
      <w:r w:rsidR="00502416">
        <w:rPr>
          <w:rFonts w:ascii="Arial" w:hAnsi="Arial" w:cs="Arial"/>
        </w:rPr>
        <w:t xml:space="preserve">and, </w:t>
      </w:r>
      <w:r w:rsidR="00502416" w:rsidRPr="00502416">
        <w:rPr>
          <w:rFonts w:ascii="Arial" w:hAnsi="Arial" w:cs="Arial"/>
        </w:rPr>
        <w:t>(2)</w:t>
      </w:r>
      <w:r w:rsidR="00502416">
        <w:rPr>
          <w:rFonts w:ascii="Arial" w:hAnsi="Arial" w:cs="Arial"/>
        </w:rPr>
        <w:t xml:space="preserve"> the singular context allows us to investigate students’ deep conceptual understanding. </w:t>
      </w:r>
    </w:p>
    <w:p w14:paraId="0D4395A2" w14:textId="77777777" w:rsidR="00074C2F" w:rsidRPr="00502416" w:rsidRDefault="00074C2F">
      <w:pPr>
        <w:rPr>
          <w:rFonts w:ascii="Arial" w:hAnsi="Arial" w:cs="Arial"/>
        </w:rPr>
      </w:pPr>
    </w:p>
    <w:p w14:paraId="34104307" w14:textId="56D3E715" w:rsidR="000C659A" w:rsidRPr="00502416" w:rsidRDefault="00074C2F">
      <w:pPr>
        <w:rPr>
          <w:rFonts w:ascii="Arial" w:hAnsi="Arial" w:cs="Arial"/>
        </w:rPr>
      </w:pPr>
      <w:r w:rsidRPr="00502416">
        <w:rPr>
          <w:rFonts w:ascii="Arial" w:hAnsi="Arial" w:cs="Arial"/>
        </w:rPr>
        <w:t>In addition,</w:t>
      </w:r>
      <w:r w:rsidR="00205C0C" w:rsidRPr="00502416">
        <w:rPr>
          <w:rFonts w:ascii="Arial" w:hAnsi="Arial" w:cs="Arial"/>
        </w:rPr>
        <w:t xml:space="preserve"> our group is using qualitative methods</w:t>
      </w:r>
      <w:r w:rsidR="00152F63" w:rsidRPr="00502416">
        <w:rPr>
          <w:rFonts w:ascii="Arial" w:hAnsi="Arial" w:cs="Arial"/>
        </w:rPr>
        <w:t xml:space="preserve"> to</w:t>
      </w:r>
      <w:r w:rsidRPr="00502416">
        <w:rPr>
          <w:rFonts w:ascii="Arial" w:hAnsi="Arial" w:cs="Arial"/>
        </w:rPr>
        <w:t xml:space="preserve"> </w:t>
      </w:r>
      <w:r w:rsidR="00CE1451" w:rsidRPr="00502416">
        <w:rPr>
          <w:rFonts w:ascii="Arial" w:hAnsi="Arial" w:cs="Arial"/>
        </w:rPr>
        <w:t>investigate students’ understanding of atomic structure</w:t>
      </w:r>
      <w:r w:rsidR="00205C0C" w:rsidRPr="00502416">
        <w:rPr>
          <w:rFonts w:ascii="Arial" w:hAnsi="Arial" w:cs="Arial"/>
        </w:rPr>
        <w:t xml:space="preserve">. </w:t>
      </w:r>
      <w:r w:rsidR="00152F63" w:rsidRPr="00502416">
        <w:rPr>
          <w:rFonts w:ascii="Arial" w:hAnsi="Arial" w:cs="Arial"/>
        </w:rPr>
        <w:t xml:space="preserve">Atomic structure is a foundational concept often introduced in General Chemistry and further built upon in upper-level chemistry courses. One unique aspect of atomic structure is the use of models to depict and convey key features of the atom. Modeling is outlined </w:t>
      </w:r>
      <w:r w:rsidR="00502416">
        <w:rPr>
          <w:rFonts w:ascii="Arial" w:hAnsi="Arial" w:cs="Arial"/>
        </w:rPr>
        <w:t xml:space="preserve">by the Next Generation Science Standards </w:t>
      </w:r>
      <w:r w:rsidR="00152F63" w:rsidRPr="00502416">
        <w:rPr>
          <w:rFonts w:ascii="Arial" w:hAnsi="Arial" w:cs="Arial"/>
        </w:rPr>
        <w:t xml:space="preserve">as </w:t>
      </w:r>
      <w:r w:rsidR="00502416">
        <w:rPr>
          <w:rFonts w:ascii="Arial" w:hAnsi="Arial" w:cs="Arial"/>
        </w:rPr>
        <w:t>an essential</w:t>
      </w:r>
      <w:r w:rsidR="00152F63" w:rsidRPr="00502416">
        <w:rPr>
          <w:rFonts w:ascii="Arial" w:hAnsi="Arial" w:cs="Arial"/>
        </w:rPr>
        <w:t xml:space="preserve"> science practice</w:t>
      </w:r>
      <w:r w:rsidR="00502416">
        <w:rPr>
          <w:rFonts w:ascii="Arial" w:hAnsi="Arial" w:cs="Arial"/>
        </w:rPr>
        <w:t>. I</w:t>
      </w:r>
      <w:r w:rsidR="00152F63" w:rsidRPr="00502416">
        <w:rPr>
          <w:rFonts w:ascii="Arial" w:hAnsi="Arial" w:cs="Arial"/>
        </w:rPr>
        <w:t xml:space="preserve">nvestigating this science practice in the context of atomic structure is particularly appropriate </w:t>
      </w:r>
      <w:r w:rsidR="00502416">
        <w:rPr>
          <w:rFonts w:ascii="Arial" w:hAnsi="Arial" w:cs="Arial"/>
        </w:rPr>
        <w:t xml:space="preserve">in order </w:t>
      </w:r>
      <w:r w:rsidR="00152F63" w:rsidRPr="00502416">
        <w:rPr>
          <w:rFonts w:ascii="Arial" w:hAnsi="Arial" w:cs="Arial"/>
        </w:rPr>
        <w:t>to</w:t>
      </w:r>
      <w:r w:rsidR="00502416">
        <w:rPr>
          <w:rFonts w:ascii="Arial" w:hAnsi="Arial" w:cs="Arial"/>
        </w:rPr>
        <w:t xml:space="preserve"> best</w:t>
      </w:r>
      <w:r w:rsidR="00152F63" w:rsidRPr="00502416">
        <w:rPr>
          <w:rFonts w:ascii="Arial" w:hAnsi="Arial" w:cs="Arial"/>
        </w:rPr>
        <w:t xml:space="preserve"> support students as they continue to </w:t>
      </w:r>
      <w:r w:rsidR="00922434">
        <w:rPr>
          <w:rFonts w:ascii="Arial" w:hAnsi="Arial" w:cs="Arial"/>
        </w:rPr>
        <w:t>build</w:t>
      </w:r>
      <w:r w:rsidR="00152F63" w:rsidRPr="00502416">
        <w:rPr>
          <w:rFonts w:ascii="Arial" w:hAnsi="Arial" w:cs="Arial"/>
        </w:rPr>
        <w:t xml:space="preserve"> their atomic structure model through</w:t>
      </w:r>
      <w:r w:rsidR="00922434">
        <w:rPr>
          <w:rFonts w:ascii="Arial" w:hAnsi="Arial" w:cs="Arial"/>
        </w:rPr>
        <w:t xml:space="preserve">out their </w:t>
      </w:r>
      <w:r w:rsidR="00152F63" w:rsidRPr="00502416">
        <w:rPr>
          <w:rFonts w:ascii="Arial" w:hAnsi="Arial" w:cs="Arial"/>
        </w:rPr>
        <w:t xml:space="preserve">science courses. </w:t>
      </w:r>
    </w:p>
    <w:p w14:paraId="5A632BBA" w14:textId="29916E4A" w:rsidR="00442485" w:rsidRPr="00502416" w:rsidRDefault="00442485">
      <w:pPr>
        <w:rPr>
          <w:rFonts w:ascii="Arial" w:hAnsi="Arial" w:cs="Arial"/>
        </w:rPr>
      </w:pPr>
    </w:p>
    <w:p w14:paraId="4B40E00E" w14:textId="736BA742" w:rsidR="00442485" w:rsidRPr="00502416" w:rsidRDefault="00442485">
      <w:pPr>
        <w:rPr>
          <w:rFonts w:ascii="Arial" w:hAnsi="Arial" w:cs="Arial"/>
        </w:rPr>
      </w:pPr>
      <w:r w:rsidRPr="00502416">
        <w:rPr>
          <w:rFonts w:ascii="Arial" w:hAnsi="Arial" w:cs="Arial"/>
        </w:rPr>
        <w:t xml:space="preserve">Check out our group website for more information: </w:t>
      </w:r>
      <w:hyperlink r:id="rId10" w:history="1">
        <w:r w:rsidRPr="00502416">
          <w:rPr>
            <w:rStyle w:val="Hyperlink"/>
            <w:rFonts w:ascii="Arial" w:hAnsi="Arial" w:cs="Arial"/>
          </w:rPr>
          <w:t>https://balabanoffcer.wordpress.com</w:t>
        </w:r>
      </w:hyperlink>
      <w:r w:rsidRPr="00502416">
        <w:rPr>
          <w:rFonts w:ascii="Arial" w:hAnsi="Arial" w:cs="Arial"/>
        </w:rPr>
        <w:t xml:space="preserve"> </w:t>
      </w:r>
    </w:p>
    <w:sectPr w:rsidR="00442485" w:rsidRPr="0050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D6F03"/>
    <w:multiLevelType w:val="hybridMultilevel"/>
    <w:tmpl w:val="0892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21"/>
    <w:rsid w:val="00074C2F"/>
    <w:rsid w:val="000C659A"/>
    <w:rsid w:val="00127721"/>
    <w:rsid w:val="00152F63"/>
    <w:rsid w:val="00205C0C"/>
    <w:rsid w:val="00442485"/>
    <w:rsid w:val="00501A05"/>
    <w:rsid w:val="00502416"/>
    <w:rsid w:val="00904BB6"/>
    <w:rsid w:val="00922434"/>
    <w:rsid w:val="00A34B69"/>
    <w:rsid w:val="00C75B09"/>
    <w:rsid w:val="00CA4B3B"/>
    <w:rsid w:val="00CE1451"/>
    <w:rsid w:val="00D35AB0"/>
    <w:rsid w:val="00FE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D224CE"/>
  <w15:chartTrackingRefBased/>
  <w15:docId w15:val="{1638213E-E323-DC4F-8395-8D66328A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721"/>
    <w:rPr>
      <w:color w:val="808080"/>
    </w:rPr>
  </w:style>
  <w:style w:type="character" w:styleId="Hyperlink">
    <w:name w:val="Hyperlink"/>
    <w:basedOn w:val="DefaultParagraphFont"/>
    <w:uiPriority w:val="99"/>
    <w:unhideWhenUsed/>
    <w:rsid w:val="00127721"/>
    <w:rPr>
      <w:color w:val="0563C1" w:themeColor="hyperlink"/>
      <w:u w:val="single"/>
    </w:rPr>
  </w:style>
  <w:style w:type="character" w:styleId="UnresolvedMention">
    <w:name w:val="Unresolved Mention"/>
    <w:basedOn w:val="DefaultParagraphFont"/>
    <w:uiPriority w:val="99"/>
    <w:semiHidden/>
    <w:unhideWhenUsed/>
    <w:rsid w:val="00127721"/>
    <w:rPr>
      <w:color w:val="605E5C"/>
      <w:shd w:val="clear" w:color="auto" w:fill="E1DFDD"/>
    </w:rPr>
  </w:style>
  <w:style w:type="paragraph" w:styleId="ListParagraph">
    <w:name w:val="List Paragraph"/>
    <w:basedOn w:val="Normal"/>
    <w:uiPriority w:val="34"/>
    <w:qFormat/>
    <w:rsid w:val="00152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10885">
      <w:bodyDiv w:val="1"/>
      <w:marLeft w:val="0"/>
      <w:marRight w:val="0"/>
      <w:marTop w:val="0"/>
      <w:marBottom w:val="0"/>
      <w:divBdr>
        <w:top w:val="none" w:sz="0" w:space="0" w:color="auto"/>
        <w:left w:val="none" w:sz="0" w:space="0" w:color="auto"/>
        <w:bottom w:val="none" w:sz="0" w:space="0" w:color="auto"/>
        <w:right w:val="none" w:sz="0" w:space="0" w:color="auto"/>
      </w:divBdr>
      <w:divsChild>
        <w:div w:id="2086489825">
          <w:marLeft w:val="640"/>
          <w:marRight w:val="0"/>
          <w:marTop w:val="0"/>
          <w:marBottom w:val="0"/>
          <w:divBdr>
            <w:top w:val="none" w:sz="0" w:space="0" w:color="auto"/>
            <w:left w:val="none" w:sz="0" w:space="0" w:color="auto"/>
            <w:bottom w:val="none" w:sz="0" w:space="0" w:color="auto"/>
            <w:right w:val="none" w:sz="0" w:space="0" w:color="auto"/>
          </w:divBdr>
        </w:div>
        <w:div w:id="1027826923">
          <w:marLeft w:val="640"/>
          <w:marRight w:val="0"/>
          <w:marTop w:val="0"/>
          <w:marBottom w:val="0"/>
          <w:divBdr>
            <w:top w:val="none" w:sz="0" w:space="0" w:color="auto"/>
            <w:left w:val="none" w:sz="0" w:space="0" w:color="auto"/>
            <w:bottom w:val="none" w:sz="0" w:space="0" w:color="auto"/>
            <w:right w:val="none" w:sz="0" w:space="0" w:color="auto"/>
          </w:divBdr>
        </w:div>
        <w:div w:id="585308526">
          <w:marLeft w:val="640"/>
          <w:marRight w:val="0"/>
          <w:marTop w:val="0"/>
          <w:marBottom w:val="0"/>
          <w:divBdr>
            <w:top w:val="none" w:sz="0" w:space="0" w:color="auto"/>
            <w:left w:val="none" w:sz="0" w:space="0" w:color="auto"/>
            <w:bottom w:val="none" w:sz="0" w:space="0" w:color="auto"/>
            <w:right w:val="none" w:sz="0" w:space="0" w:color="auto"/>
          </w:divBdr>
        </w:div>
      </w:divsChild>
    </w:div>
    <w:div w:id="997608667">
      <w:bodyDiv w:val="1"/>
      <w:marLeft w:val="0"/>
      <w:marRight w:val="0"/>
      <w:marTop w:val="0"/>
      <w:marBottom w:val="0"/>
      <w:divBdr>
        <w:top w:val="none" w:sz="0" w:space="0" w:color="auto"/>
        <w:left w:val="none" w:sz="0" w:space="0" w:color="auto"/>
        <w:bottom w:val="none" w:sz="0" w:space="0" w:color="auto"/>
        <w:right w:val="none" w:sz="0" w:space="0" w:color="auto"/>
      </w:divBdr>
    </w:div>
    <w:div w:id="1137449111">
      <w:bodyDiv w:val="1"/>
      <w:marLeft w:val="0"/>
      <w:marRight w:val="0"/>
      <w:marTop w:val="0"/>
      <w:marBottom w:val="0"/>
      <w:divBdr>
        <w:top w:val="none" w:sz="0" w:space="0" w:color="auto"/>
        <w:left w:val="none" w:sz="0" w:space="0" w:color="auto"/>
        <w:bottom w:val="none" w:sz="0" w:space="0" w:color="auto"/>
        <w:right w:val="none" w:sz="0" w:space="0" w:color="auto"/>
      </w:divBdr>
      <w:divsChild>
        <w:div w:id="1347095836">
          <w:marLeft w:val="640"/>
          <w:marRight w:val="0"/>
          <w:marTop w:val="0"/>
          <w:marBottom w:val="0"/>
          <w:divBdr>
            <w:top w:val="none" w:sz="0" w:space="0" w:color="auto"/>
            <w:left w:val="none" w:sz="0" w:space="0" w:color="auto"/>
            <w:bottom w:val="none" w:sz="0" w:space="0" w:color="auto"/>
            <w:right w:val="none" w:sz="0" w:space="0" w:color="auto"/>
          </w:divBdr>
        </w:div>
        <w:div w:id="121729908">
          <w:marLeft w:val="640"/>
          <w:marRight w:val="0"/>
          <w:marTop w:val="0"/>
          <w:marBottom w:val="0"/>
          <w:divBdr>
            <w:top w:val="none" w:sz="0" w:space="0" w:color="auto"/>
            <w:left w:val="none" w:sz="0" w:space="0" w:color="auto"/>
            <w:bottom w:val="none" w:sz="0" w:space="0" w:color="auto"/>
            <w:right w:val="none" w:sz="0" w:space="0" w:color="auto"/>
          </w:divBdr>
        </w:div>
      </w:divsChild>
    </w:div>
    <w:div w:id="1515535257">
      <w:bodyDiv w:val="1"/>
      <w:marLeft w:val="0"/>
      <w:marRight w:val="0"/>
      <w:marTop w:val="0"/>
      <w:marBottom w:val="0"/>
      <w:divBdr>
        <w:top w:val="none" w:sz="0" w:space="0" w:color="auto"/>
        <w:left w:val="none" w:sz="0" w:space="0" w:color="auto"/>
        <w:bottom w:val="none" w:sz="0" w:space="0" w:color="auto"/>
        <w:right w:val="none" w:sz="0" w:space="0" w:color="auto"/>
      </w:divBdr>
      <w:divsChild>
        <w:div w:id="121075054">
          <w:marLeft w:val="640"/>
          <w:marRight w:val="0"/>
          <w:marTop w:val="0"/>
          <w:marBottom w:val="0"/>
          <w:divBdr>
            <w:top w:val="none" w:sz="0" w:space="0" w:color="auto"/>
            <w:left w:val="none" w:sz="0" w:space="0" w:color="auto"/>
            <w:bottom w:val="none" w:sz="0" w:space="0" w:color="auto"/>
            <w:right w:val="none" w:sz="0" w:space="0" w:color="auto"/>
          </w:divBdr>
        </w:div>
        <w:div w:id="917180132">
          <w:marLeft w:val="640"/>
          <w:marRight w:val="0"/>
          <w:marTop w:val="0"/>
          <w:marBottom w:val="0"/>
          <w:divBdr>
            <w:top w:val="none" w:sz="0" w:space="0" w:color="auto"/>
            <w:left w:val="none" w:sz="0" w:space="0" w:color="auto"/>
            <w:bottom w:val="none" w:sz="0" w:space="0" w:color="auto"/>
            <w:right w:val="none" w:sz="0" w:space="0" w:color="auto"/>
          </w:divBdr>
        </w:div>
      </w:divsChild>
    </w:div>
    <w:div w:id="1518108662">
      <w:bodyDiv w:val="1"/>
      <w:marLeft w:val="0"/>
      <w:marRight w:val="0"/>
      <w:marTop w:val="0"/>
      <w:marBottom w:val="0"/>
      <w:divBdr>
        <w:top w:val="none" w:sz="0" w:space="0" w:color="auto"/>
        <w:left w:val="none" w:sz="0" w:space="0" w:color="auto"/>
        <w:bottom w:val="none" w:sz="0" w:space="0" w:color="auto"/>
        <w:right w:val="none" w:sz="0" w:space="0" w:color="auto"/>
      </w:divBdr>
    </w:div>
    <w:div w:id="16587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9/D1RP00270H" TargetMode="External"/><Relationship Id="rId3" Type="http://schemas.openxmlformats.org/officeDocument/2006/relationships/styles" Target="styles.xml"/><Relationship Id="rId7" Type="http://schemas.openxmlformats.org/officeDocument/2006/relationships/hyperlink" Target="mailto:morgan.balabanoff@louisville.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labanoffcer.wordpress.com" TargetMode="External"/><Relationship Id="rId4" Type="http://schemas.openxmlformats.org/officeDocument/2006/relationships/settings" Target="settings.xml"/><Relationship Id="rId9" Type="http://schemas.openxmlformats.org/officeDocument/2006/relationships/hyperlink" Target="https://doi.org/10.1021/acs.jchemed.0c0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AC1232-8F7C-4E4F-849E-ABD71C0D69D8}">
  <we:reference id="wa104382081" version="1.35.0.0" store="en-US" storeType="OMEX"/>
  <we:alternateReferences>
    <we:reference id="wa104382081" version="1.35.0.0" store="" storeType="OMEX"/>
  </we:alternateReferences>
  <we:properties>
    <we:property name="MENDELEY_CITATIONS" value="[{&quot;citationID&quot;:&quot;MENDELEY_CITATION_58acf232-1840-401e-885f-bd3259aa3aa3&quot;,&quot;properties&quot;:{&quot;noteIndex&quot;:0},&quot;isEdited&quot;:false,&quot;manualOverride&quot;:{&quot;isManuallyOverridden&quot;:false,&quot;citeprocText&quot;:&quot;&lt;sup&gt;1,2&lt;/sup&gt;&quot;,&quot;manualOverrideText&quot;:&quot;&quot;},&quot;citationItems&quot;:[{&quot;id&quot;:&quot;887e9c3e-240e-3141-bde4-6288bfb11b6e&quot;,&quot;itemData&quot;:{&quot;type&quot;:&quot;article-journal&quot;,&quot;id&quot;:&quot;887e9c3e-240e-3141-bde4-6288bfb11b6e&quot;,&quot;title&quot;:&quot;From Ideas to Items: A Primer on the Development of Ordered Multiple-Choice Items for Investigating the Progression of Learning in Higher Education STEM&quot;,&quot;author&quot;:[{&quot;family&quot;:&quot;Lazenby&quot;,&quot;given&quot;:&quot;Katherine&quot;,&quot;parse-names&quot;:false,&quot;dropping-particle&quot;:&quot;&quot;,&quot;non-dropping-particle&quot;:&quot;&quot;},{&quot;family&quot;:&quot;Balabanoff&quot;,&quot;given&quot;:&quot;Morgan&quot;,&quot;parse-names&quot;:false,&quot;dropping-particle&quot;:&quot;&quot;,&quot;non-dropping-particle&quot;:&quot;&quot;},{&quot;family&quot;:&quot;Becker&quot;,&quot;given&quot;:&quot;Nicole&quot;,&quot;parse-names&quot;:false,&quot;dropping-particle&quot;:&quot;&quot;,&quot;non-dropping-particle&quot;:&quot;&quot;},{&quot;family&quot;:&quot;Moon&quot;,&quot;given&quot;:&quot;Alena&quot;,&quot;parse-names&quot;:false,&quot;dropping-particle&quot;:&quot;&quot;,&quot;non-dropping-particle&quot;:&quot;&quot;},{&quot;family&quot;:&quot;Barbera&quot;,&quot;given&quot;:&quot;Jack&quot;,&quot;parse-names&quot;:false,&quot;dropping-particle&quot;:&quot;&quot;,&quot;non-dropping-particle&quot;:&quot;&quot;}],&quot;container-title&quot;:&quot;Journal of Chemical Education&quot;,&quot;DOI&quot;:&quot;10.1021/acs.jchemed.0c01121&quot;,&quot;ISSN&quot;:&quot;0021-9584&quot;,&quot;page&quot;:&quot;714 - 729&quot;,&quot;abstract&quot;:&quot;Identifying effective methods of assessment and developing robust assessments are key areas of research in chemistry education. This research is needed to evaluate instructional innovations and curricular reform. In this primer, we advocate for the use of a type of assessment, ordered multiple-choice (OMC), across postsecondary chemistry. OMC assessments are grounded in a developmental perspective, which treats students’ knowledge as developing in sophistication over time. This is in contrast to a dichotomous perspective, which asserts students’ knowledge is either aligned or misaligned with scientifically accepted knowledge. By drawing on a developmental perspective, OMC assessments offer insights into student understanding that can be useful for informing instruction. To that end, this primer will overview OMC assessments, illustrate their development and evaluation in two chemistry contexts, and make an argument for their utility in the chemistry education community.&quot;,&quot;issue&quot;:&quot;3&quot;,&quot;volume&quot;:&quot;98&quot;,&quot;expandedJournalTitle&quot;:&quot;Journal of Chemical Education&quot;},&quot;isTemporary&quot;:false},{&quot;id&quot;:&quot;c15b5d2b-ca7f-389e-83d4-8f62d0852265&quot;,&quot;itemData&quot;:{&quot;type&quot;:&quot;article-journal&quot;,&quot;id&quot;:&quot;c15b5d2b-ca7f-389e-83d4-8f62d0852265&quot;,&quot;title&quot;:&quot;An Exploration of Chemistry Students’ Conceptions of Light and Light-Matter Interactions in the Context of the Photoelectric Effect&quot;,&quot;author&quot;:[{&quot;family&quot;:&quot;Balabanoff&quot;,&quot;given&quot;:&quot;M E&quot;,&quot;parse-names&quot;:false,&quot;dropping-particle&quot;:&quot;&quot;,&quot;non-dropping-particle&quot;:&quot;&quot;},{&quot;family&quot;:&quot;Fulaiti&quot;,&quot;given&quot;:&quot;H&quot;,&quot;parse-names&quot;:false,&quot;dropping-particle&quot;:&quot;&quot;,&quot;non-dropping-particle&quot;:&quot;al&quot;},{&quot;family&quot;:&quot;Bhusal&quot;,&quot;given&quot;:&quot;S&quot;,&quot;parse-names&quot;:false,&quot;dropping-particle&quot;:&quot;&quot;,&quot;non-dropping-particle&quot;:&quot;&quot;},{&quot;family&quot;:&quot;Harrold&quot;,&quot;given&quot;:&quot;A&quot;,&quot;parse-names&quot;:false,&quot;dropping-particle&quot;:&quot;&quot;,&quot;non-dropping-particle&quot;:&quot;&quot;},{&quot;family&quot;:&quot;Moon&quot;,&quot;given&quot;:&quot;A C&quot;,&quot;parse-names&quot;:false,&quot;dropping-particle&quot;:&quot;&quot;,&quot;non-dropping-particle&quot;:&quot;&quot;}],&quot;container-title&quot;:&quot;Int. J. Sci. Educ.&quot;,&quot;issued&quot;:{&quot;date-parts&quot;:[[2020]]},&quot;page&quot;:&quot;861&quot;,&quot;issue&quot;:&quot;6&quot;,&quot;volume&quot;:&quot;42&quot;,&quot;expandedJournalTitle&quot;:&quot;Int. J. Sci. Educ.&quot;},&quot;isTemporary&quot;:false}],&quot;citationTag&quot;:&quot;MENDELEY_CITATION_v3_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&quot;},{&quot;citationID&quot;:&quot;MENDELEY_CITATION_3625c306-938d-49b5-97e6-4f93f9cad083&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&quot;,&quot;citationItems&quot;:[{&quot;id&quot;:&quot;469cc04d-a183-3b39-afc1-db3f84c04a3e&quot;,&quot;itemData&quot;:{&quot;type&quot;:&quot;article-journal&quot;,&quot;id&quot;:&quot;469cc04d-a183-3b39-afc1-db3f84c04a3e&quot;,&quot;title&quot;:&quot;Development of the Water Instrument: a comprehensive measure of students’ knowledge of fundamental concepts in general chemistry&quot;,&quot;author&quot;:[{&quot;family&quot;:&quot;Balabanoff&quot;,&quot;given&quot;:&quot;Morgan&quot;,&quot;parse-names&quot;:false,&quot;dropping-particle&quot;:&quot;&quot;,&quot;non-dropping-particle&quot;:&quot;&quot;},{&quot;family&quot;:&quot;Fulaiti&quot;,&quot;given&quot;:&quot;Haiyan&quot;,&quot;parse-names&quot;:false,&quot;dropping-particle&quot;:&quot;&quot;,&quot;non-dropping-particle&quot;:&quot;al&quot;},{&quot;family&quot;:&quot;DeKorver&quot;,&quot;given&quot;:&quot;Brittland&quot;,&quot;parse-names&quot;:false,&quot;dropping-particle&quot;:&quot;&quot;,&quot;non-dropping-particle&quot;:&quot;&quot;},{&quot;family&quot;:&quot;Mack&quot;,&quot;given&quot;:&quot;Michael&quot;,&quot;parse-names&quot;:false,&quot;dropping-particle&quot;:&quot;&quot;,&quot;non-dropping-particle&quot;:&quot;&quot;},{&quot;family&quot;:&quot;Moon&quot;,&quot;given&quot;:&quot;Alena&quot;,&quot;parse-names&quot;:false,&quot;dropping-particle&quot;:&quot;&quot;,&quot;non-dropping-particle&quot;:&quot;&quot;}],&quot;container-title&quot;:&quot;Chemistry Education Research and Practice&quot;,&quot;DOI&quot;:&quot;10.1039/D1RP00270H&quot;,&quot;ISSN&quot;:&quot;1109-4028&quot;,&quot;URL&quot;:&quot;http://xlink.rsc.org/?DOI=D1RP00270H&quot;,&quot;issued&quot;:{&quot;date-parts&quot;:[[2022]]},&quot;abstract&quot;:&quot;&lt;p&gt;General Chemistry serves virtually all STEM students. It has been accused of covering content in a “mile wide and inch deep” fashion. This has made it very difficult to assess, where chemistry educators have relied on assessments of specific topics. Assessing across all these different topics requires introducing many different chemical systems and contexts, which may pose a threat to validity in the measurement of students’ knowledge of general chemistry concepts. With many different systems and contexts, it is possible that students will have varying familiarity, may resort to memorization, or rely on fragments of knowledge to answer. To account for challenges which may arise with different systems and contexts, we have developed an assessment instrument for measuring students’ understanding of key concepts from a year-long sequence of general chemistry that relies on a single context: water. The Water Instrument was developed using exploratory sequential design to target eight of the ten anchoring concepts for general chemistry. Psychometric results will be presented from the final pilot administration, where an item response model was used to evaluate the assessment. Further evidence gathered through Response Process Validity interviews will be presented. The evidence gathered indicates this assessment offers a valid and reliable estimate of students’ understanding of general chemistry concepts in the context of water, which makes this instrument promising for general chemistry assessment. The comprehensive nature of the assessment can provide rich information to instructors regarding their students’ conceptual knowledge of the wide range of topics covered in a year-long sequence of general chemistry.&lt;/p&gt;&quot;,&quot;expandedJournalTitle&quot;:&quot;Chemistry Education Research and Practice&quot;},&quot;isTemporary&quot;:false}]}]"/>
    <we:property name="MENDELEY_CITATIONS_STYLE" value="&quot;https://www.zotero.org/styles/acs-applied-energy-material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87AD-B470-DF40-B1FB-B9D79640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Balabanoff,Morgan Elizabeth</dc:creator>
  <cp:keywords/>
  <dc:description/>
  <cp:lastModifiedBy>Balabanoff,Morgan Elizabeth</cp:lastModifiedBy>
  <cp:revision>3</cp:revision>
  <dcterms:created xsi:type="dcterms:W3CDTF">2022-01-16T14:39:00Z</dcterms:created>
  <dcterms:modified xsi:type="dcterms:W3CDTF">2022-01-17T23:33:00Z</dcterms:modified>
</cp:coreProperties>
</file>